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FWONK</w:t>
      </w:r>
      <w:r>
        <w:rPr>
          <w:rFonts w:ascii="Calibri" w:hAnsi="Calibri"/>
          <w:b/>
          <w:color w:val="1A2010"/>
          <w:sz w:val="40"/>
        </w:rPr>
        <w:t xml:space="preserve">  Formula One Group</w:t>
      </w:r>
    </w:p>
    <w:p>
      <w:pPr>
        <w:spacing w:after="120"/>
      </w:pPr>
      <w:r>
        <w:rPr>
          <w:rFonts w:ascii="Calibri" w:hAnsi="Calibri"/>
          <w:b/>
          <w:color w:val="6E8450"/>
          <w:sz w:val="18"/>
        </w:rPr>
        <w:t>GROWTH SLEEVE · 2026-04-17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Formula One Group holds the commercial rights to the FIA Formula One World Championship, the world's most prestigious annual motorsport series. Under Liberty Media ownership since 2017, F1 produces 24 Grand Prix events annually, operates the F1 Paddock Club hospitality program, F2/F3 feeder series, F1 Academy, and acquired MotoGP in 2024. Revenue comes from race promotion, broadcast rights, sponsorship, and hospitality across 24 countries.</w:t>
      </w:r>
    </w:p>
    <w:p>
      <w:r>
        <w:rPr>
          <w:rFonts w:ascii="Calibri" w:hAnsi="Calibri"/>
          <w:b/>
          <w:color w:val="6E8450"/>
          <w:sz w:val="18"/>
        </w:rPr>
        <w:t>1,674 Employees · https://www.libertymedia.com/formula-one-group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Liberty Media's stewardship of F1 since 2017 has been transformative — revenue grew from ~$1.8B to $3.9B in 2025 (14% YoY), fan attendance reached a record 6.75M (up 4%), and live viewership surged 21% YoY [1]. The 'Drive to Survive' Netflix partnership and U.S. market expansion (three American races) are among the most successful sports marketing pivots in history. The MotoGP acquisition in 2024 extended the motorsport platform [1]. AI Deployment (1/2): F1 is rolling out AI-powered fan personalization across digital platforms, using data analytics to enhance race strategy visualization and fan engagement, though no specific revenue figures are attributed to AI products [2]. Market Share (2/2): Formula One is the undisputed global leader in premier open-wheel motorsport, with an irreplicable brand and commercial rights monopoly. The sport's 24-race global calendar and broadcast deals across 170+ countries create a moat no competitor can approach [1]. Pipeline (1/2): Expansion into India and South Korea announced, new Concorde Agreement being negotiated with teams, and 2026 regulation changes (new power units, ground-effect aerodynamics) will reset competitive dynamics and drive fan interest [2]. R&amp;D Intensity (1/1): F1 invests heavily in broadcast technology, data analytics, digital platforms, and now AI-powered fan experiences, pushing beyond traditional sports rights holders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F1's purpose under Liberty Media has evolved from a racing series to a global entertainment platform — creating 'the greatest racing spectacle on the planet' while expanding access to new audiences and markets. Stefano Domenicali as CEO and the broader leadership articulate a vision of F1 as inclusive global entertainment, not just motorsport. This is specific and thoughtful but not yet transformative [2]. Community Impact (1/2): F1 has implemented internships and apprenticeships for underrepresented groups, engineering scholarships for diverse students, and sustainability initiatives, though the sport's globe-spanning calendar creates inherent environmental tension [3]. Employee Retention (1/2): The small staff of 1,674 manages a massive global operation, suggesting efficient and committed teams. Domenicali has provided stable leadership since 2021, and the management culture emphasizes treating circuits and fans as ecosystem partners [2]. Insider Buying (1/2): New Liberty Media CEO Derek Chang (replacing Greg Maffei in 2025) has significant equity exposure. John Malone's controlling interest through Liberty Media represents substantial insider conviction in F1's long-term value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F1's revenue trajectory is excellent — $4.48B in 2025 (22.7% YoY growth) with record operating income of $632M and strong free cash flow of $664M [1][5]. The 3-year revenue CAGR of 20.3% demonstrates sustained growth. However, the stock trades at a premium — forward P/E of 42.9x and PEG of 12.5x are rich even for a monopoly sports asset [5]. D/E of 60.6% is conservative with $5.1B debt against $1.1B cash, manageable given the predictable revenue streams [5]. Profit margin of 12.4% is decent for a sports media company but not software-like. ROE of 7.7% is moderate. Q4 2025 adjusted OIBDA of $329M (up 65% YoY) shows margin expansion in progress [1]. Liquidity floor easily passes: 2.15M avg vol × $89.94 = $193.4M daily. Growth stock infrastructure calculation: D/E 60.6% → 1.0 (1×); ROE 7.7% → 0.51 (2×); Rev Growth YoY 22.7% → 1.0 (1×); Rev Growth 5yr CAGR 20.3% → 1.0 (2×); Forward P/E 42.9 → 0.43 (1×); Profit Margin 12.4% → 0.62 (1×); PEG 12.5 → 0.0 (2×). Weighted sum = 6.07, max = 10, score = 6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Formula One under Liberty Media demonstrates strong infinite game characteristics — expanding the sport's reach to new audiences and markets while investing in sustainability, diversity, and fan experience rather than extracting maximum short-term revenue. The 2026 regulation reset, geographic expansion, and 'Drive to Survive' strategy all reflect long-term vision. However, the sport's globe-spanning carbon footprint and premium pricing create tension with the inclusive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Liberty Media has transformed F1's purpose from an exclusive European motorsport club into a global entertainment platform that welcomes new audiences, markets, and demographics [1][2]. The 'Drive to Survive' partnership brought millions of new fans. The commitment to net-zero carbon by 2030 and diversity initiatives show purpose beyond profit. However, the cause has not survived decades of consistent execution — Liberty only acquired F1 in 2017, and the mission is still being proven through market cycles.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F1's collaborative architecture treats circuits, teams, and fans as ecosystem partners rather than interchangeable venues and passive consumers [2]. Stefano Domenicali has provided stable leadership since 2021. The small staff of 1,674 managing a massive global operation suggests efficient, empowered teams. The competitive relationship with the 10 F1 teams is managed through the Concorde Agreement framework, which balances team autonomy with collective governance.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F1 under Liberty Media acknowledges the competitive landscape — NASCAR for U.S. audiences, soccer/football globally, and even gaming/esports for younger demographics [2]. Rather than attacking these rivals, F1 has adopted their best practices: NFL-style entertainment production, Netflix-style storytelling through 'Drive to Survive,' and social-media-first engagement. The MotoGP acquisition shows willingness to learn from adjacent motorsport formats.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Liberty Media's transformation of F1 from an exclusive, European-centric motorsport to a global entertainment brand represents meaningful strategic evolution [1]. Adding three U.S. races, the Netflix partnership, and MotoGP acquisition show willingness to expand the definition of the business. The 2026 regulation overhaul (new power units, sustainability focus) demonstrates flexibility in the core product. However, the fundamental business model — selling commercial rights to live racing — has not been fundamentally reinvented.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Liberty Media's decisions to invest in the 'Drive to Survive' documentary (risking the sport's premium image for mass-market appeal), add three U.S. races (alienating traditional European fans), commit to net-zero carbon by 2030 (costly for a global racing series), and acquire MotoGP (expanding beyond F1's moat) all represent courageous long-term bets [1][2]. The 2026 regulation reset, designed to improve competitive balance at the potential cost of current competitive advantages, shows willingness to sacrifice short-term order for long-term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Formula One Group owns the commercial rights to the world's most prestigious motorsport series, which generated $3.9B in revenue in 2025 (up 14% YoY) with record operating income of $632M and adjusted OIBDA growing 65% in Q4 to $329M [1]. The business has powerful secular tailwinds: fan attendance hit a record 6.75M (up 4%), live viewership surged 21%, and the 'Drive to Survive' effect continues to expand the addressable audience, particularly in the U.S. where three Grand Prix now operate [1]. The MotoGP acquisition adds a complementary motorsport platform, and expansion into India and South Korea opens new geographic markets. F1's monopoly on premium open-wheel racing creates an irreplicable moat — there is no substitute for the FIA F1 World Championship [2]. Guggenheim maintains a Buy rating with projected 2026 OIBDA of $1.34B above street consensus [1].</w:t>
      </w:r>
    </w:p>
    <w:p>
      <w:pPr>
        <w:spacing w:after="120"/>
      </w:pPr>
      <w:r>
        <w:rPr>
          <w:rFonts w:ascii="Calibri" w:hAnsi="Calibri"/>
          <w:b w:val="0"/>
          <w:color w:val="3A4A28"/>
          <w:sz w:val="20"/>
        </w:rPr>
        <w:t>The bear case centers on valuation and growth sustainability. Forward P/E of 42.9x and PEG of 12.5x are extremely rich, requiring sustained double-digit growth to justify the $22.5B market cap [5]. Profit margin of 12.4% is modest — the company must demonstrate that revenue growth translates into expanding profitability to justify the premium. F1's globe-spanning calendar creates carbon footprint concerns that conflict with the net-zero 2030 commitment, and sustainability targets may limit expansion [3]. The 2026 regulation changes (new power units, aerodynamic rules) create uncertainty about competitive balance and fan engagement. The Concorde Agreement renegotiation with teams could shift economics toward the teams at F1's expense. Currency headwinds from international revenue, geopolitical risks in race host countries, and potential sponsor fatigue from an increasingly crowded 24-race calendar could pressure growth. Liberty Media's complex tracking stock structure adds governance complexity for FWONK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Geographic expansion into India and South Korea markets, combined with three established U.S. Grand Prix, extending F1's addressable audience into the world's largest entertainment markets [2]</w:t>
      </w:r>
    </w:p>
    <w:p>
      <w:pPr>
        <w:spacing w:before="40" w:after="40"/>
        <w:ind w:left="283"/>
      </w:pPr>
      <w:r>
        <w:rPr>
          <w:rFonts w:ascii="Calibri" w:hAnsi="Calibri"/>
          <w:b/>
          <w:color w:val="4A6B25"/>
          <w:sz w:val="20"/>
        </w:rPr>
        <w:t xml:space="preserve">2. </w:t>
      </w:r>
      <w:r>
        <w:rPr>
          <w:rFonts w:ascii="Calibri" w:hAnsi="Calibri"/>
          <w:b w:val="0"/>
          <w:color w:val="3A4A28"/>
          <w:sz w:val="20"/>
        </w:rPr>
        <w:t>2026 regulation reset with new power units and aerodynamic rules designed to improve racing quality and competitive balance, potentially driving a viewership surge [1]</w:t>
      </w:r>
    </w:p>
    <w:p>
      <w:pPr>
        <w:spacing w:before="40" w:after="40"/>
        <w:ind w:left="283"/>
      </w:pPr>
      <w:r>
        <w:rPr>
          <w:rFonts w:ascii="Calibri" w:hAnsi="Calibri"/>
          <w:b/>
          <w:color w:val="4A6B25"/>
          <w:sz w:val="20"/>
        </w:rPr>
        <w:t xml:space="preserve">3. </w:t>
      </w:r>
      <w:r>
        <w:rPr>
          <w:rFonts w:ascii="Calibri" w:hAnsi="Calibri"/>
          <w:b w:val="0"/>
          <w:color w:val="3A4A28"/>
          <w:sz w:val="20"/>
        </w:rPr>
        <w:t>MotoGP revenue contribution ($573M, up 14%) and cross-selling synergies with F1's broadcast, sponsorship, and hospitality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42.9x forward P/E and 12.5x PEG requires sustained double-digit growth — any deceleration would trigger multiple compression on the $22.5B market cap [5]</w:t>
      </w:r>
    </w:p>
    <w:p>
      <w:pPr>
        <w:spacing w:before="40" w:after="40"/>
        <w:ind w:left="283"/>
      </w:pPr>
      <w:r>
        <w:rPr>
          <w:rFonts w:ascii="Calibri" w:hAnsi="Calibri"/>
          <w:b/>
          <w:color w:val="4A6B25"/>
          <w:sz w:val="20"/>
        </w:rPr>
        <w:t xml:space="preserve">2. </w:t>
      </w:r>
      <w:r>
        <w:rPr>
          <w:rFonts w:ascii="Calibri" w:hAnsi="Calibri"/>
          <w:b w:val="0"/>
          <w:color w:val="3A4A28"/>
          <w:sz w:val="20"/>
        </w:rPr>
        <w:t>Concorde Agreement renegotiation could shift economics toward the 10 F1 teams, compressing F1's share of commercial revenue and pressuring margins [1]</w:t>
      </w:r>
    </w:p>
    <w:p>
      <w:pPr>
        <w:spacing w:before="40" w:after="40"/>
        <w:ind w:left="283"/>
      </w:pPr>
      <w:r>
        <w:rPr>
          <w:rFonts w:ascii="Calibri" w:hAnsi="Calibri"/>
          <w:b/>
          <w:color w:val="4A6B25"/>
          <w:sz w:val="20"/>
        </w:rPr>
        <w:t xml:space="preserve">3. </w:t>
      </w:r>
      <w:r>
        <w:rPr>
          <w:rFonts w:ascii="Calibri" w:hAnsi="Calibri"/>
          <w:b w:val="0"/>
          <w:color w:val="3A4A28"/>
          <w:sz w:val="20"/>
        </w:rPr>
        <w:t>Carbon footprint of a 24-race global calendar creates tension with the net-zero 2030 commitment and ESG-conscious investors and sponsors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Formula One is highly resilient to AI disruption. The core product — live motorsport events attended by 6.75M fans annually and broadcast to 170+ countries — cannot be replicated or substituted by AI [1]. The FIA commercial rights monopoly, long-term broadcast contracts, and physical-world racing infrastructure create structural protection that AI cannot threaten. AI actually enhances F1's product through race strategy analytics, fan personalization, and broadcast visualization. The sport's entertainment value is built on human drama, competition, and spectacle that AI amplifies rather than replaces [2]. AI Opportunity (1/1): F1 is actively deploying AI-powered fan personalization, data analytics for broadcast enhancement, and race strategy visualization tools that generate revenue through premium digital experiences and enhanced sponsorship packages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Media Q4 2025 Earnings — F1 revenue $3.9B (up 14%), operating income record $632M, Q4 OIBDA $329M, February 2026</w:t>
      </w:r>
    </w:p>
    <w:p>
      <w:pPr>
        <w:spacing w:before="20" w:after="20"/>
        <w:ind w:left="170"/>
      </w:pPr>
      <w:r>
        <w:rPr>
          <w:rFonts w:ascii="Calibri" w:hAnsi="Calibri"/>
          <w:b/>
          <w:color w:val="4A6B25"/>
          <w:sz w:val="15"/>
        </w:rPr>
        <w:t xml:space="preserve">2. </w:t>
      </w:r>
      <w:r>
        <w:rPr>
          <w:rFonts w:ascii="Calibri" w:hAnsi="Calibri"/>
          <w:b w:val="0"/>
          <w:color w:val="3A4A28"/>
          <w:sz w:val="17"/>
        </w:rPr>
        <w:t>Liberty Media Leadership — CEO Derek Chang appointed 2025, Stefano Domenicali as F1 CEO, AI-powered fan personalization and geographic expansion</w:t>
      </w:r>
    </w:p>
    <w:p>
      <w:pPr>
        <w:spacing w:before="20" w:after="20"/>
        <w:ind w:left="170"/>
      </w:pPr>
      <w:r>
        <w:rPr>
          <w:rFonts w:ascii="Calibri" w:hAnsi="Calibri"/>
          <w:b/>
          <w:color w:val="4A6B25"/>
          <w:sz w:val="15"/>
        </w:rPr>
        <w:t xml:space="preserve">3. </w:t>
      </w:r>
      <w:r>
        <w:rPr>
          <w:rFonts w:ascii="Calibri" w:hAnsi="Calibri"/>
          <w:b w:val="0"/>
          <w:color w:val="3A4A28"/>
          <w:sz w:val="17"/>
        </w:rPr>
        <w:t>Liberty Media ESG — Net zero carbon commitment, diversity initiatives, sustainability challenges with global calendar</w:t>
      </w:r>
    </w:p>
    <w:p>
      <w:pPr>
        <w:spacing w:before="20" w:after="20"/>
        <w:ind w:left="170"/>
      </w:pPr>
      <w:r>
        <w:rPr>
          <w:rFonts w:ascii="Calibri" w:hAnsi="Calibri"/>
          <w:b/>
          <w:color w:val="4A6B25"/>
          <w:sz w:val="15"/>
        </w:rPr>
        <w:t xml:space="preserve">4. </w:t>
      </w:r>
      <w:r>
        <w:rPr>
          <w:rFonts w:ascii="Calibri" w:hAnsi="Calibri"/>
          <w:b w:val="0"/>
          <w:color w:val="3A4A28"/>
          <w:sz w:val="17"/>
        </w:rPr>
        <w:t>Guggenheim Research — Buy rating maintained, 2026 OIBDA projected $1.34B above consensus, price target raised</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FWONK (Formula One Group),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