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w:t>
      </w:r>
      <w:r>
        <w:rPr>
          <w:rFonts w:ascii="Calibri" w:hAnsi="Calibri"/>
          <w:b/>
          <w:color w:val="1A2010"/>
          <w:sz w:val="40"/>
        </w:rPr>
        <w:t xml:space="preserve">  Ford Motor Company</w:t>
      </w:r>
    </w:p>
    <w:p>
      <w:pPr>
        <w:spacing w:after="120"/>
      </w:pPr>
      <w:r>
        <w:rPr>
          <w:rFonts w:ascii="Calibri" w:hAnsi="Calibri"/>
          <w:b/>
          <w:color w:val="6E8450"/>
          <w:sz w:val="18"/>
        </w:rPr>
        <w:t>DIVIDEND SLEEVE · 2026-05-12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United States</w:t>
      </w:r>
    </w:p>
    <w:p>
      <w:pPr>
        <w:spacing w:after="80"/>
      </w:pPr>
      <w:r>
        <w:rPr>
          <w:rFonts w:ascii="Calibri" w:hAnsi="Calibri"/>
          <w:b w:val="0"/>
          <w:color w:val="3A4A28"/>
          <w:sz w:val="20"/>
        </w:rPr>
        <w:t>Ford Motor Company designs, manufactures, and sells automobiles and commercial vehicles worldwide through four segments: Ford Blue (ICE vehicles), Ford Model e (electric vehicles), Ford Pro (commercial fleet), and Ford Credit (financing). Q1 2026 delivered $43.3B revenue with adjusted EBIT of $3.5B, and the company raised full-year guidance to $8.5-10.5B adjusted EBIT after a $1.3B tariff refund benefit.</w:t>
      </w:r>
    </w:p>
    <w:p>
      <w:r>
        <w:rPr>
          <w:rFonts w:ascii="Calibri" w:hAnsi="Calibri"/>
          <w:b/>
          <w:color w:val="6E8450"/>
          <w:sz w:val="18"/>
        </w:rPr>
        <w:t>168,000 Employees · https://www.ford.com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Q1 2026 revenue of $43.3B (+6.4% YoY) with adjusted EBIT tripling to $3.5B shows operational improvement, but 2025 ended with a net loss of $11.1B driven by massive EV-related charges [1]. Ford Pro remains the standout with double-digit margins on commercial fleet. AI Deployment (1/2): Ford has deployed AI through BlueCruise hands-free driving (Level 2+), Latitude AI autonomous driving R&amp;D, and manufacturing quality control systems, though it trails Tesla and Waymo in autonomy capability [2]. Market Share (1/2): Ford maintains the number-two position among US automakers with strong commercial fleet dominance through Ford Pro, but EV market share remains modest with F-150 Lightning facing production challenges [1]. Product Pipeline (1/2): Gen 2 EV platform in development, Ford Energy segment receiving $1.5B CapEx for energy storage, and software/services revenue growing ~8% annually through the decade [1]. R&amp;D Intensity (1/1): Substantial R&amp;D investment across ICE, hybrid, EV, and autonomous driving platforms relative to auto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Ford's heritage as 'the car that democratized transportation' carries genuine cultural resonance validated by 123 years of execution. CEO Jim Farley has articulated a distinctive vision around the 'essential economy' — warning that AI is leaving blue-collar workers behind and positioning Ford as a company that serves working America [2]. This is specific, thoughtful, and connected to a deeper purpose. Community &amp; Charitable Impact (1/2): Ford has deep community ties in Michigan, maintains extensive supplier and dealer networks supporting hundreds of thousands of jobs, and runs the Ford Fund for community investment [3]. Employee Retention (1/2): Glassdoor rating of 3.9/5 with 76% recommendation rate and 168,000 employees, though the 3% rating decline over the past year and only 58% positive business outlook reflect EV transition uncertainty [2]. Insider Buying (1/2): CEO Farley has maintained his equity position, but no significant net insider buying was found amid the stock's decline.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Ford's financial profile is bifurcated: Q1 2026 showed strong adjusted EBIT of $3.5B and net income of $2.5B boosted by a $1.3B tariff refund, but trailing metrics remain weak [1]. D/E of 425.5% reflects Ford Credit's structural leverage — typical for captive finance auto OEMs but scores poorly in the framework. Trailing ROE of -14.8% and profit margin of -3.2% reflect 2025's net loss, though forward P/E of 6.5x indicates expected recovery. Revenue growth of 6.4% YoY is modest. Dividend yield of 5.0% is attractive, but 64.1% payout ratio against volatile earnings creates sustainability risk. Dividend growth has been flat since 2023 with no consecutive growth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Ford demonstrates meaningful infinite game qualities through its 123-year survival across multiple industry disruptions, CEO Farley's distinctive 'essential economy' vision, and willingness to invest in EV transformation despite billions in losses. The company's deep community roots and multi-generational workforce create genuine organizational endurance. However, the EV transition is straining the organization — $4.8B Model e losses in 2025, internal cultural friction between segments, and uncertain strategic direction between ICE, hybrid, and EV create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Ford's legacy of democratizing transportation has been refreshed by CEO Farley's 'essential economy' thesis — a distinctive, deeply personal vision that connects Ford's work to serving working America in an age of AI disruption [2]. Farley told workers 'none of the young people want to work here' and responded by reconnecting to Henry Ford's original playbook of building for the working class. This cause is genuine and differentiating, though it hasn't yet been tested through a multi-decade cycle under Farley's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Ford's 168,000-employee workforce includes deep generational loyalty, particularly in Michigan manufacturing communities, and the UAW relationship — while contentious — provides structural stability [3]. Glassdoor's 3.9/5 rating with 76% recommendation suggests adequate trust. However, the three-segment structure (Blue, Model e, Pro) creates internal competition and cultural friction between legacy manufacturing and new software/EV cultures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Ford explicitly acknowledges Tesla's EV leadership and has adjusted strategy accordingly — pivoting Gen 2 EVs while doubling down on hybrids and Ford Pro where it has structural advantages. CEO Farley's competitive commentary focuses on what Ford can learn from rivals' strengths rather than defeating them, and the company has studied GM's Ultium challenges to inform its own more cautious EV approach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Ford's three-segment restructuring, EV investment despite $4.8B annual losses, and creation of the Ford Energy segment for energy storage demonstrate willingness to evolve the business model [1]. The pivot toward hybrids after recognizing EV losses were unsustainable shows adaptive capacity. However, the core business of building and selling vehicles through dealerships has not fundamentally changed in 123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the EV transition despite billions in losses and publicly raising full-year guidance after tariff relief shows conviction in long-term positioning [1]. CEO Farley's willingness to publicly state 'none of the young people want to work here' and then invest in cultural renewal demonstrates honest self-assessment [2]. However, the anticipated special charges and Model e losses suggest reactive adjustment as much as proactive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Ford trades at a deeply discounted forward P/E of 6.5x with Q1 2026 showing strong momentum — $43.3B revenue, $2.5B net income, and adjusted EBIT tripling to $3.5B aided by a $1.3B tariff refund [1]. Full-year guidance was raised to $8.5-10.5B adjusted EBIT, and the 5.0% dividend yield is compelling for income investors. Ford Pro's commercial fleet dominance with double-digit margins and growing software/services revenue (~8% annual growth) provides a durable competitive moat. The company's 123-year survival record and CEO Farley's distinctive 'essential economy' vision position Ford as a beneficiary of AI-driven reshoring and infrastructure investment [2].</w:t>
      </w:r>
    </w:p>
    <w:p>
      <w:pPr>
        <w:spacing w:after="120"/>
      </w:pPr>
      <w:r>
        <w:rPr>
          <w:rFonts w:ascii="Calibri" w:hAnsi="Calibri"/>
          <w:b w:val="0"/>
          <w:color w:val="3A4A28"/>
          <w:sz w:val="20"/>
        </w:rPr>
        <w:t>The bear case remains formidable. Trailing ROE of -14.8% and profit margin of -3.2% reflect 2025's net loss, and Model e's EV losses ($4.8B in 2025) continue to drain profitability from Ford Pro and Blue [1]. D/E of 425% — while structural for auto OEMs with captive finance — leaves limited room for error. The tariff refund that boosted Q1 is a one-time benefit, and tariff uncertainty persists. Chinese EV competition (BYD) and Tesla's autonomous driving program represent long-term existential threats. The dividend has been flat since 2023 with no growth, and the 64% payout ratio against volatile earnings creates sustainability risk. At $12.05, the stock prices in recovery but not the magnitude of structural challenges ahead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Ford Pro continued margin expansion toward $6.5-7.5B EBIT target in 2026, with software and services revenue growing 8% annually to become a higher-margin recurring revenue stream [1]</w:t>
      </w:r>
    </w:p>
    <w:p>
      <w:pPr>
        <w:spacing w:before="40" w:after="40"/>
        <w:ind w:left="283"/>
      </w:pPr>
      <w:r>
        <w:rPr>
          <w:rFonts w:ascii="Calibri" w:hAnsi="Calibri"/>
          <w:b/>
          <w:color w:val="4A6B25"/>
          <w:sz w:val="20"/>
        </w:rPr>
        <w:t xml:space="preserve">2. </w:t>
      </w:r>
      <w:r>
        <w:rPr>
          <w:rFonts w:ascii="Calibri" w:hAnsi="Calibri"/>
          <w:b w:val="0"/>
          <w:color w:val="3A4A28"/>
          <w:sz w:val="20"/>
        </w:rPr>
        <w:t>Successful Gen 2 EV platform launch reducing Model e losses below $4B annually while maintaining competitive product offerings in key segments [1]</w:t>
      </w:r>
    </w:p>
    <w:p>
      <w:pPr>
        <w:spacing w:before="40" w:after="40"/>
        <w:ind w:left="283"/>
      </w:pPr>
      <w:r>
        <w:rPr>
          <w:rFonts w:ascii="Calibri" w:hAnsi="Calibri"/>
          <w:b/>
          <w:color w:val="4A6B25"/>
          <w:sz w:val="20"/>
        </w:rPr>
        <w:t xml:space="preserve">3. </w:t>
      </w:r>
      <w:r>
        <w:rPr>
          <w:rFonts w:ascii="Calibri" w:hAnsi="Calibri"/>
          <w:b w:val="0"/>
          <w:color w:val="3A4A28"/>
          <w:sz w:val="20"/>
        </w:rPr>
        <w:t>AI-driven reshoring and infrastructure investment boom benefiting Ford's commercial truck and van business as the 'essential economy' thesis plays 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Model e EV losses of $4.0-4.5B annually with no clear path to breakeven — the EV segment continues destroying value while consuming capital needed for Ford Pro and Blue [1]</w:t>
      </w:r>
    </w:p>
    <w:p>
      <w:pPr>
        <w:spacing w:before="40" w:after="40"/>
        <w:ind w:left="283"/>
      </w:pPr>
      <w:r>
        <w:rPr>
          <w:rFonts w:ascii="Calibri" w:hAnsi="Calibri"/>
          <w:b/>
          <w:color w:val="4A6B25"/>
          <w:sz w:val="20"/>
        </w:rPr>
        <w:t xml:space="preserve">2. </w:t>
      </w:r>
      <w:r>
        <w:rPr>
          <w:rFonts w:ascii="Calibri" w:hAnsi="Calibri"/>
          <w:b w:val="0"/>
          <w:color w:val="3A4A28"/>
          <w:sz w:val="20"/>
        </w:rPr>
        <w:t>Tariff uncertainty and trade policy volatility — the $1.3B Q1 refund was a one-time benefit, and renewed tariffs could pressure margins across the vehicle portfolio [1]</w:t>
      </w:r>
    </w:p>
    <w:p>
      <w:pPr>
        <w:spacing w:before="40" w:after="40"/>
        <w:ind w:left="283"/>
      </w:pPr>
      <w:r>
        <w:rPr>
          <w:rFonts w:ascii="Calibri" w:hAnsi="Calibri"/>
          <w:b/>
          <w:color w:val="4A6B25"/>
          <w:sz w:val="20"/>
        </w:rPr>
        <w:t xml:space="preserve">3. </w:t>
      </w:r>
      <w:r>
        <w:rPr>
          <w:rFonts w:ascii="Calibri" w:hAnsi="Calibri"/>
          <w:b w:val="0"/>
          <w:color w:val="3A4A28"/>
          <w:sz w:val="20"/>
        </w:rPr>
        <w:t>Tesla's autonomous driving program and BYD's aggressive pricing could structurally erode Ford's market position in both consumer vehicles and commercial fleet over the next decade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Ford faces moderate AI disruption risk through autonomous driving technology that could reshape vehicle ownership models long-term. Tesla's robotaxi program and Waymo's expansion threaten the traditional consumer vehicle business [2]. However, Ford Pro's commercial fleet segment is more defensible — fleet customers require owned/leased vehicles regardless of autonomous technology, and Ford's physical manufacturing, dealer network, and regulatory compliance create meaningful barriers. CEO Farley has been uniquely vocal about AI's societal impact, arguing AI creates massive demand for blue-collar workers and physical infrastructure that benefits Ford's core customer base [2]. AI Opportunity (1/1): BlueCruise driver-assist software, Latitude AI autonomous driving R&amp;D, Ford Pro fleet management software, and manufacturing AI optimization provide real AI-derived revenue and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Ford Motor Company Q1 2026 Earnings Release — $43.3B revenue, $3.5B adjusted EBIT, raised guidance, CNBC/StockTitan, April 2026</w:t>
      </w:r>
    </w:p>
    <w:p>
      <w:pPr>
        <w:spacing w:before="20" w:after="20"/>
        <w:ind w:left="170"/>
      </w:pPr>
      <w:r>
        <w:rPr>
          <w:rFonts w:ascii="Calibri" w:hAnsi="Calibri"/>
          <w:b/>
          <w:color w:val="4A6B25"/>
          <w:sz w:val="15"/>
        </w:rPr>
        <w:t xml:space="preserve">2. </w:t>
      </w:r>
      <w:r>
        <w:rPr>
          <w:rFonts w:ascii="Calibri" w:hAnsi="Calibri"/>
          <w:b w:val="0"/>
          <w:color w:val="3A4A28"/>
          <w:sz w:val="17"/>
        </w:rPr>
        <w:t>Fortune — CEO Jim Farley 'essential economy' vision, AI workforce disruption warnings, Glassdoor culture data, 2025-2026</w:t>
      </w:r>
    </w:p>
    <w:p>
      <w:pPr>
        <w:spacing w:before="20" w:after="20"/>
        <w:ind w:left="170"/>
      </w:pPr>
      <w:r>
        <w:rPr>
          <w:rFonts w:ascii="Calibri" w:hAnsi="Calibri"/>
          <w:b/>
          <w:color w:val="4A6B25"/>
          <w:sz w:val="15"/>
        </w:rPr>
        <w:t xml:space="preserve">3. </w:t>
      </w:r>
      <w:r>
        <w:rPr>
          <w:rFonts w:ascii="Calibri" w:hAnsi="Calibri"/>
          <w:b w:val="0"/>
          <w:color w:val="3A4A28"/>
          <w:sz w:val="17"/>
        </w:rPr>
        <w:t>Ford Motor Company ESG and Sustainability Reports, Sustainalytics 'Strong' ESG management rating,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