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GAME</w:t>
      </w:r>
      <w:r>
        <w:rPr>
          <w:rFonts w:ascii="Calibri" w:hAnsi="Calibri"/>
          <w:b/>
          <w:color w:val="1A2010"/>
          <w:sz w:val="40"/>
        </w:rPr>
        <w:t xml:space="preserve">  GameSquare Holdings, Inc.</w:t>
      </w:r>
    </w:p>
    <w:p>
      <w:pPr>
        <w:spacing w:after="120"/>
      </w:pPr>
      <w:r>
        <w:rPr>
          <w:rFonts w:ascii="Calibri" w:hAnsi="Calibri"/>
          <w:b/>
          <w:color w:val="6E8450"/>
          <w:sz w:val="18"/>
        </w:rPr>
        <w:t>GROWTH SLEEVE · 2026-05-02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GameSquare Holdings, Inc. operates as a digital media and gaming company connecting brands with gaming audiences through media agencies, data analytics, SaaS platforms, esports organizations, and content studios. The company partners with over 150 global brands including Lenovo, Mastercard, and Kraft-Heinz.</w:t>
      </w:r>
    </w:p>
    <w:p>
      <w:r>
        <w:rPr>
          <w:rFonts w:ascii="Calibri" w:hAnsi="Calibri"/>
          <w:b/>
          <w:color w:val="6E8450"/>
          <w:sz w:val="18"/>
        </w:rPr>
        <w:t>https://www.gamesquare.com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GameSquare Experiences (GSX) division grew revenue approximately 14x since establishment in Q1 2024, demonstrating rapid product-market fit in experiential gaming activations [1]. The TubeBuddy acquisition in early 2026 adds a SaaS creator platform with recurring revenue potential [2]. Partnerships with 150+ global brands and collaborations with the NFL show market validation, though the company is aggregating existing services rather than developing proprietary breakthrough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Justin Kenna, recognized in Leaders Under 40 Sports Business Awards (2023) and Dallas 500, provides energetic leadership with 5+ year tenure [3]. The management team's average tenure of 2.1 years suggests recent rapid hiring or turnover associated with growth-stage companies. No Glassdoor reviews available suggest limited scale; the gaming/esports mission attracts passionate employees but the company has yet to build durable cultural institutions.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142% YoY revenue growth in Q4 2025 and first positive adjusted EBITDA of $1.7M, GameSquare remains deeply unprofitable on a GAAP basis with -89% profit margin and negative ROE of -126% [4]. Debt-to-equity of 12.2 indicates heavy leverage for a sub-$50M market cap company. The $0.50 stock price and micro-cap status create liquidity and dilution risks. 2026 guidance of $85-90M revenue with 35-40% gross margins shows a path forward, but GAAP profitability remains distant.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GameSquare demonstrates ambition to build a durable gaming media platform through strategic acquisitions and brand partnerships, but the company's heavy losses, high leverage, and reliance on acquisitive growth raise sustainability questions. The rapid pivot toward profitability in Q4 2025 is encouraging but unproven over time.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Connecting brands authentically with gaming communities represents a genuine market need as gaming becomes the dominant entertainment medium for younger demographics. CEO Kenna's vision of integrating brands into gaming culture rather than interrupting it shows purpose beyond mere revenue extraction [3]. However, the cause serves advertisers more than gamers themselves.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Average management tenure of just 2.1 years suggests high turnover or rapid expansion through acquisition that may not have fully integrated teams [3]. The company has grown through M&amp;A (Engine Gaming merger, TubeBuddy acquisition) which typically creates cultural integration challenges. No public employee sentiment data available to assess ground-level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GameSquare competes against larger, well-funded gaming media companies and traditional digital agencies expanding into gaming. Rivals include Enthusiast Gaming, Faze Holdings (restructured), and established agencies like dentsu gaming. The competitive landscape validates the market but GameSquare's small scale creates vulnerability to being outspent.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demonstrated flexibility by pivoting from pure esports ownership to a diversified gaming media platform encompassing agencies, SaaS, experiences, and creator tools [1]. The TubeBuddy acquisition shows willingness to enter adjacent markets. However, the acquisition-heavy strategy risks overextension before core businesses achieve profitability.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GameSquare has shown boldness in pursuing growth through acquisitions and ringing the NASDAQ bell as a gaming-focused company, but the courage is somewhat undermined by the financial fragility — $46M market cap, negative equity, and dependence on investor patience. True courage would mean achieving organic profitability before further M&amp;A.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GameSquare is inflecting toward operating profitability after achieving its first positive adjusted EBITDA quarter ($1.7M in Q4 2025) while guiding for $85-90M revenue in 2026 at 35-40% gross margins. The GSX experiential division's 14x revenue growth since inception and record $10M+ Q1 2026 bookings demonstrate strong product-market fit in connecting brands with gaming audiences.</w:t>
      </w:r>
    </w:p>
    <w:p>
      <w:pPr>
        <w:spacing w:after="120"/>
      </w:pPr>
      <w:r>
        <w:rPr>
          <w:rFonts w:ascii="Calibri" w:hAnsi="Calibri"/>
          <w:b w:val="0"/>
          <w:color w:val="3A4A28"/>
          <w:sz w:val="20"/>
        </w:rPr>
        <w:t>However, the -89% GAAP profit margin, 12.2x debt-to-equity, $0.50 stock price, and $46M market cap reflect a company still far from sustainable profitability. The acquisitive growth strategy (Engine Gaming, TubeBuddy) risks dilution and integration challenges. This is a highly speculative micro-cap that requires conviction in gaming media's long-term brand spending shift and management's ability to convert adjusted EBITDA into free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GAAP-profitable quarter expected in 2026 as revenue scales toward $85-90M guidance with 35-40% gross margins</w:t>
      </w:r>
    </w:p>
    <w:p>
      <w:pPr>
        <w:spacing w:before="40" w:after="40"/>
        <w:ind w:left="283"/>
      </w:pPr>
      <w:r>
        <w:rPr>
          <w:rFonts w:ascii="Calibri" w:hAnsi="Calibri"/>
          <w:b/>
          <w:color w:val="4A6B25"/>
          <w:sz w:val="20"/>
        </w:rPr>
        <w:t xml:space="preserve">2. </w:t>
      </w:r>
      <w:r>
        <w:rPr>
          <w:rFonts w:ascii="Calibri" w:hAnsi="Calibri"/>
          <w:b w:val="0"/>
          <w:color w:val="3A4A28"/>
          <w:sz w:val="20"/>
        </w:rPr>
        <w:t>GSX experiential division achieving record bookings ($10M+ in Q1 2026) with recurring client base growing 3x</w:t>
      </w:r>
    </w:p>
    <w:p>
      <w:pPr>
        <w:spacing w:before="40" w:after="40"/>
        <w:ind w:left="283"/>
      </w:pPr>
      <w:r>
        <w:rPr>
          <w:rFonts w:ascii="Calibri" w:hAnsi="Calibri"/>
          <w:b/>
          <w:color w:val="4A6B25"/>
          <w:sz w:val="20"/>
        </w:rPr>
        <w:t xml:space="preserve">3. </w:t>
      </w:r>
      <w:r>
        <w:rPr>
          <w:rFonts w:ascii="Calibri" w:hAnsi="Calibri"/>
          <w:b w:val="0"/>
          <w:color w:val="3A4A28"/>
          <w:sz w:val="20"/>
        </w:rPr>
        <w:t>TubeBuddy acquisition adding high-margin SaaS recurring revenue from YouTube creator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($46M) with -89% profit margins and 12.2x D/E creates existential risk if growth stalls or capital markets close</w:t>
      </w:r>
    </w:p>
    <w:p>
      <w:pPr>
        <w:spacing w:before="40" w:after="40"/>
        <w:ind w:left="283"/>
      </w:pPr>
      <w:r>
        <w:rPr>
          <w:rFonts w:ascii="Calibri" w:hAnsi="Calibri"/>
          <w:b/>
          <w:color w:val="4A6B25"/>
          <w:sz w:val="20"/>
        </w:rPr>
        <w:t xml:space="preserve">2. </w:t>
      </w:r>
      <w:r>
        <w:rPr>
          <w:rFonts w:ascii="Calibri" w:hAnsi="Calibri"/>
          <w:b w:val="0"/>
          <w:color w:val="3A4A28"/>
          <w:sz w:val="20"/>
        </w:rPr>
        <w:t>AI-generated content and virtual influencers could disrupt the creator economy model that underpins brand partnerships</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 rapid M&amp;A (Engine Gaming, TubeBuddy) may strain management bandwidth before core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both opportunity and risk for GameSquare. AI tools could enhance their data analytics offerings and automate content creation for brand partners, potentially improving margins. However, AI-generated content and AI influencers pose a disruptive threat to GameSquare's creator economy model — brands could bypass human creators and agencies. The experiential/live events segment (GSX) is more AI-resilient since physical activations cannot be automated. Net assessment is neutral given offsetting forces.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GameSquare Q1 2026 Bookings Announcement — Record $10M+ for GSX Division, April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'GameSquare expects over 20% annual organic revenue growth in 2026',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GameSquare Holdings Leadership &amp; Management Team Analysis,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GAME Key Statistics,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GameSquare Q4 2025 Earnings — First Positive Adjusted EBITDA Quarter,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