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GAP</w:t>
      </w:r>
      <w:r>
        <w:rPr>
          <w:rFonts w:ascii="Calibri" w:hAnsi="Calibri"/>
          <w:b/>
          <w:color w:val="1A2010"/>
          <w:sz w:val="40"/>
        </w:rPr>
        <w:t xml:space="preserve">  The Gap, Inc.</w:t>
      </w:r>
    </w:p>
    <w:p>
      <w:pPr>
        <w:spacing w:after="120"/>
      </w:pPr>
      <w:r>
        <w:rPr>
          <w:rFonts w:ascii="Calibri" w:hAnsi="Calibri"/>
          <w:b/>
          <w:color w:val="6E8450"/>
          <w:sz w:val="18"/>
        </w:rPr>
        <w:t>DIVIDEND SLEEVE · 2026-03-28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The Gap, Inc. operates as a global apparel retail company with four brands — Old Navy, Gap, Banana Republic, and Athleta — serving customers through company-operated stores, franchise stores, e-commerce, and licensing partnerships across the Americas, Europe, Asia, and the Middle East.</w:t>
      </w:r>
    </w:p>
    <w:p>
      <w:r>
        <w:rPr>
          <w:rFonts w:ascii="Calibri" w:hAnsi="Calibri"/>
          <w:b/>
          <w:color w:val="6E8450"/>
          <w:sz w:val="18"/>
        </w:rPr>
        <w:t>79,000 Employees · https://www.gapinc.com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Gap has achieved eight consecutive quarters of positive comparable sales under CEO Richard Dickson, but these are modest low-single-digit gains in a declining revenue base — total revenue has fallen from $16.7B in FY2022 to $15.4B in FY2025 [1]. No transformative new product or business model pivot. AI Deployment (1/2): Gap formed an Office of AI and partnered with Google Cloud in October 2025 to deploy Gemini, Vertex AI, and BigQuery across operations — personalized fit guidance with Bold Metrics and AI-powered recommendations are shipping, but no quantified revenue or cost savings disclosed yet [2]. Market Share (1/2): All four brands gained market share in FY2024-2025, with Old Navy and Gap showing particular strength, though the company remains a mid-tier player in a fragmented apparel market [1]. Pipeline (1/2): AI-powered shopping tools, Encore loyalty program with 40M members, and store/technology capex increasing to $650M in FY2026 show investment but lack transformative product vision [2]. R&amp;D Intensity (1/1): Technology investment is increasing, with the Google Cloud partnership and Office of AI representing above-average digital investment for apparel retail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Gap's stated purpose — "We champion the power to express your individuality" — is clear but not distinctive; it identifies what the company does (fashion/self-expression) without articulating a deeper social purpose beyond commerce. CEO Dickson's framing that "fashion is entertainment" positions the company as a cultural brand but falls short of a Just Cause [2]. Community Impact (1/2): Gap Inc. has nearly three decades of sustainability programming and publishes annual ESG reports; 98% sustainable cotton sourcing and renewable energy commitments demonstrate effort, though Good On You rates the company "Not Good Enough" overall due to living wage gaps in the supply chain [3]. Employee Retention (0/2): No specific retention data available; the company employs 79,000 but has undergone significant workforce restructuring in recent years with no evidence of exceptional tenure or low turnover. Insider Buying (1/2): Minimal insider transaction data available, but the 6% dividend increase to $0.175/share for FY2026 Q1 signals board confidence in the business trajectory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Gap's financial profile reflects a stable but unexceptional apparel retailer. Revenue of $15.4B with 2.1% YoY growth, D/E of 147.6%, ROE of 23.1%, profit margin of 5.3%, forward P/E of 9.5, and gross margin of 40.8% [1][4]. Dividend yield of 2.83% with $0.70 annual rate and 31% payout ratio. Gap has paid dividends since 1986 but cut them during COVID (2020), so consecutive years of payment restarted ~3 years ago, and growth restarted in 2025. Free cash flow of $823M and $3.0B cash position are strengths [1]. Liquidity floor cleared: 7.8M avg vol × $24.74 = $193M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Gap under Richard Dickson has stabilized after years of decline, achieving eight consecutive quarters of comp growth and restoring cultural relevance to its brands. However, the company's history of strategic drift — cycling through CEOs and strategies every few years — and its focus on quarterly comp metrics suggest a company learning to play the infinite game but not yet committed to 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Gap's purpose of championing self-expression through fashion is shallow as a Just Cause — it's a marketing positioning rather than a vision of a better future that inspires sacrifice [2]. Dickson's cultural brand framing is energizing but has not been tested through adversity or multi-decade consistency. The company has cycled through strategic visions with multiple CEO changes.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Gap maintains a stable workforce of 79,000 with no major cultural red flags under Dickson's leadership. The Encore loyalty program's 40M members and cross-brand integration suggest organizational collaboration [2]. However, significant workforce restructuring in recent years and no evidence of exceptional employee empowerment or trust metrics.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Gap acknowledges competitive pressure from fast-fashion rivals like Shein and Zara, using it to accelerate digital transformation and AI investment [2]. Dickson's emphasis on "fashion is entertainment" and cultural relevance shows awareness of rivals' strengths in speed-to-market and trend responsiveness rather than a purely adversarial posture.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Gap has not made any transformative strategic pivot in its history. The company remains fundamentally the same multi-brand apparel retailer it was two decades ago, with no evidence of willingness to abandon legacy business models in service of a larger cause. Incremental changes like AI adoption and loyalty programs are evolutionary, not existential.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Dickson's decision to increase capex to $650M in FY2026 for store renovation and technology investment during an uncertain tariff environment shows willingness to invest for the long term [1]. The board's 6% dividend increase despite flat revenue growth also signals confidence. However, no evidence of truly courageous decisions that sacrificed near-term earnings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Gap Inc. under CEO Richard Dickson has delivered a meaningful turnaround — eight consecutive quarters of positive comparable sales, $3.0B cash (strongest in nearly 20 years), and operating income of $1.1B at 7.3% operating margin [1]. The Google Cloud AI partnership, Office of AI, and Encore loyalty program with 40M members position the company to drive digital transformation across its four-brand portfolio [2]. At 9.5x forward P/E with 2.83% dividend yield and $823M in free cash flow, Gap offers value investor appeal with a credible path to margin expansion as tariff headwinds normalize and AI-driven efficiencies materialize. FY2026 guidance of 2-3% revenue growth and 7.3-7.5% adjusted operating margin suggests continued steady improvement [1].</w:t>
      </w:r>
    </w:p>
    <w:p>
      <w:pPr>
        <w:spacing w:after="120"/>
      </w:pPr>
      <w:r>
        <w:rPr>
          <w:rFonts w:ascii="Calibri" w:hAnsi="Calibri"/>
          <w:b w:val="0"/>
          <w:color w:val="3A4A28"/>
          <w:sz w:val="20"/>
        </w:rPr>
        <w:t>The bear case centers on Gap's inability to structurally grow revenue — total sales have declined from $16.7B in FY2022 to $15.4B in FY2025 despite positive comp sales, reflecting store closures and brand rationalization [1]. Tariff exposure is significant for an apparel company sourcing globally, with Q1 FY2026 gross margin expected down 150-200 bps due to tariff costs [1]. Athleta is expected to decline mid-to-high single digits in H1 2026. The 15.4% short interest signals meaningful skepticism. Gap faces structural headwinds from fast-fashion competitors (Shein, Temu) and the secular shift away from mall-based retail. Good On You rates Gap "Not Good Enough" on ESG, citing lack of living wage assurance in the supply chain and insufficient environmental action [3]. The company's beta of 2.24 makes it highly sensitive to consumer discretionary spending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 AI partnership driving personalized shopping, automated fit guidance, and operational efficiencies across all four brands — management expects AI monetization opportunities in FY2026 [2]</w:t>
      </w:r>
    </w:p>
    <w:p>
      <w:pPr>
        <w:spacing w:before="40" w:after="40"/>
        <w:ind w:left="283"/>
      </w:pPr>
      <w:r>
        <w:rPr>
          <w:rFonts w:ascii="Calibri" w:hAnsi="Calibri"/>
          <w:b/>
          <w:color w:val="4A6B25"/>
          <w:sz w:val="20"/>
        </w:rPr>
        <w:t xml:space="preserve">2. </w:t>
      </w:r>
      <w:r>
        <w:rPr>
          <w:rFonts w:ascii="Calibri" w:hAnsi="Calibri"/>
          <w:b w:val="0"/>
          <w:color w:val="3A4A28"/>
          <w:sz w:val="20"/>
        </w:rPr>
        <w:t>Encore loyalty program with 40M active members creating cross-brand customer retention and data-driven personalization at scale [2]</w:t>
      </w:r>
    </w:p>
    <w:p>
      <w:pPr>
        <w:spacing w:before="40" w:after="40"/>
        <w:ind w:left="283"/>
      </w:pPr>
      <w:r>
        <w:rPr>
          <w:rFonts w:ascii="Calibri" w:hAnsi="Calibri"/>
          <w:b/>
          <w:color w:val="4A6B25"/>
          <w:sz w:val="20"/>
        </w:rPr>
        <w:t xml:space="preserve">3. </w:t>
      </w:r>
      <w:r>
        <w:rPr>
          <w:rFonts w:ascii="Calibri" w:hAnsi="Calibri"/>
          <w:b w:val="0"/>
          <w:color w:val="3A4A28"/>
          <w:sz w:val="20"/>
        </w:rPr>
        <w:t>FY2026 adjusted EPS guidance of $2.20-$2.35 with operating margin expansion to 7.3-7.5%, supported by $650M capex investment in stores and technology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from $16.7B to $15.4B over three years — positive comp sales mask store closures and brand contraction, raising questions about long-term top-line trajectory [1]</w:t>
      </w:r>
    </w:p>
    <w:p>
      <w:pPr>
        <w:spacing w:before="40" w:after="40"/>
        <w:ind w:left="283"/>
      </w:pPr>
      <w:r>
        <w:rPr>
          <w:rFonts w:ascii="Calibri" w:hAnsi="Calibri"/>
          <w:b/>
          <w:color w:val="4A6B25"/>
          <w:sz w:val="20"/>
        </w:rPr>
        <w:t xml:space="preserve">2. </w:t>
      </w:r>
      <w:r>
        <w:rPr>
          <w:rFonts w:ascii="Calibri" w:hAnsi="Calibri"/>
          <w:b w:val="0"/>
          <w:color w:val="3A4A28"/>
          <w:sz w:val="20"/>
        </w:rPr>
        <w:t>Tariff and sourcing risk — apparel retail is heavily exposed to global trade disruptions; Q1 FY2026 gross margin guided down 150-200 bps on tariff impact alone [1]</w:t>
      </w:r>
    </w:p>
    <w:p>
      <w:pPr>
        <w:spacing w:before="40" w:after="40"/>
        <w:ind w:left="283"/>
      </w:pPr>
      <w:r>
        <w:rPr>
          <w:rFonts w:ascii="Calibri" w:hAnsi="Calibri"/>
          <w:b/>
          <w:color w:val="4A6B25"/>
          <w:sz w:val="20"/>
        </w:rPr>
        <w:t xml:space="preserve">3. </w:t>
      </w:r>
      <w:r>
        <w:rPr>
          <w:rFonts w:ascii="Calibri" w:hAnsi="Calibri"/>
          <w:b w:val="0"/>
          <w:color w:val="3A4A28"/>
          <w:sz w:val="20"/>
        </w:rPr>
        <w:t>Fast-fashion competition from Shein, Temu, and Zara intensifying pressure on mid-market apparel brands, particularly at Old Navy's value-oriented price point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Gap's core business — physical apparel design, manufacturing, and retail distribution — has moderate natural protection from AI disruption. Clothing is a physical product requiring supply chain, logistics, and in-store experience that AI cannot replace. However, AI tools are disrupting fashion design workflows, marketing content creation, and customer service, exposing portions of the value chain [2]. The apparel retail sector faces some AI substitution in trend forecasting and personalization, but brand loyalty and physical product delivery remain defensible. AI Opportunity (1/1): Gap is actively deploying AI through its Google Cloud partnership, Office of AI, Bold Metrics fit technology, and Google's Universal Commerce Protocol for AI-powered shopping — these represent real operational AI revenue enablement, though not direct AI product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Gap Inc. Q4 FY2025 Earnings Release — $15.4B revenue, $816M net income, FY2026 outlook, March 2026</w:t>
      </w:r>
    </w:p>
    <w:p>
      <w:pPr>
        <w:spacing w:before="20" w:after="20"/>
        <w:ind w:left="170"/>
      </w:pPr>
      <w:r>
        <w:rPr>
          <w:rFonts w:ascii="Calibri" w:hAnsi="Calibri"/>
          <w:b/>
          <w:color w:val="4A6B25"/>
          <w:sz w:val="15"/>
        </w:rPr>
        <w:t xml:space="preserve">2. </w:t>
      </w:r>
      <w:r>
        <w:rPr>
          <w:rFonts w:ascii="Calibri" w:hAnsi="Calibri"/>
          <w:b w:val="0"/>
          <w:color w:val="3A4A28"/>
          <w:sz w:val="17"/>
        </w:rPr>
        <w:t>Gap Inc. Google Cloud AI Partnership — Office of AI, Bold Metrics, Encore loyalty program, October 2025–March 2026</w:t>
      </w:r>
    </w:p>
    <w:p>
      <w:pPr>
        <w:spacing w:before="20" w:after="20"/>
        <w:ind w:left="170"/>
      </w:pPr>
      <w:r>
        <w:rPr>
          <w:rFonts w:ascii="Calibri" w:hAnsi="Calibri"/>
          <w:b/>
          <w:color w:val="4A6B25"/>
          <w:sz w:val="15"/>
        </w:rPr>
        <w:t xml:space="preserve">3. </w:t>
      </w:r>
      <w:r>
        <w:rPr>
          <w:rFonts w:ascii="Calibri" w:hAnsi="Calibri"/>
          <w:b w:val="0"/>
          <w:color w:val="3A4A28"/>
          <w:sz w:val="17"/>
        </w:rPr>
        <w:t>Good On You / Eco-Stylist — Gap Inc. ESG and ethical labor assessments,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GAP (The Gap, Inc.),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