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GAU</w:t>
      </w:r>
      <w:r>
        <w:rPr>
          <w:rFonts w:ascii="Calibri" w:hAnsi="Calibri"/>
          <w:b/>
          <w:color w:val="1A2010"/>
          <w:sz w:val="40"/>
        </w:rPr>
        <w:t xml:space="preserve">  Galiano Gold Inc.</w:t>
      </w:r>
    </w:p>
    <w:p>
      <w:pPr>
        <w:spacing w:after="120"/>
      </w:pPr>
      <w:r>
        <w:rPr>
          <w:rFonts w:ascii="Calibri" w:hAnsi="Calibri"/>
          <w:b/>
          <w:color w:val="6E8450"/>
          <w:sz w:val="18"/>
        </w:rPr>
        <w:t>GROWTH SLEEVE · 2026-04-07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Galiano Gold Inc. operates as a gold mining company, owning a 90% interest in the Asanko Gold Mine in Ghana's Amansie West District. The mine consists of the Nkran, Esaase, Abore, and Miradani North open-pit mining areas on the Asankrangwa Gold Belt. Formerly Asanko Gold Inc., the company rebranded in 2020 and is headquartered in Vancouver, Canada.</w:t>
      </w:r>
    </w:p>
    <w:p>
      <w:r>
        <w:rPr>
          <w:rFonts w:ascii="Calibri" w:hAnsi="Calibri"/>
          <w:b/>
          <w:color w:val="6E8450"/>
          <w:sz w:val="18"/>
        </w:rPr>
        <w:t>https://www.galianogold.com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Galiano consolidated ownership of the Asanko Gold Mine by acquiring Gold Fields' 45% stake in mid-2024, transitioning from a JV to a 90%-owned operation — a meaningful strategic move but not a transformative pivot [1][3]. AI Deployment (0/2): No AI deployment evident; the company operates conventional open-pit gold mining in West Africa with no disclosed AI-driven efficiency initiatives [2]. Market Share (0/2): Galiano is a small-cap gold miner producing ~120,000 oz in 2025 with a $658M market cap, competing against majors like Barrick, Newmont, and Gold Fields without category leadership [1]. Pipeline (1/2): Management guided 2026 production of 140,000–160,000 oz (roughly 25% growth over 2025) with AISC of $2,000–$2,300/oz, supported by a $17M accelerated exploration program and 30+ million tonnes of mineable reserves [1]. R&amp;D Intensity (0/1): Not applicable — gold mining companies do not invest in R&amp;D in the traditional sense.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Galiano's stated commitment to 'highest standards of corporate governance, ethical conduct, and regulatory compliance' is generic boilerplate interchangeable with any mining company [2]. Community Impact (0/2): A fatal clash between soldiers and local residents at the Esaase deposit in 2025 resulted in one death and community unrest, forcing operational suspension — a significant negative for community relations [3]. Employee Retention (0/2): No public data on employee tenure, voluntary turnover, or workforce metrics. Insider Buying (0/2): No evidence of meaningful net insider buying by CEO Matt Badylak or other executives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Galiano's balance sheet is exceptionally clean with D/E of just 16.7% and $108.3M cash against $37M debt [1]. However, profitability metrics are weak: ROE of -13.1% and profit margin of -8.9% reflect the mine's transition phase and impairment charges. The forward P/E of 2.5x is extraordinarily low, pricing in massive earnings recovery to $1.02 forward EPS from -$0.11 trailing [4]. Revenue growth YoY was -2.6% in the most recent period, though Q4 2025 revenue of $159.7M surpassed estimates by 20.5% [1]. Liquidity floor cleared: 3.9M avg vol × $2.52 = $9.9M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Galiano Gold operates with a finite mindset focused on near-term production targets and cost optimization rather than articulating an enduring purpose beyond shareholder returns. The 2024 consolidation of the Asanko mine and 2026 production guidance are finite moves to maximize asset value, not signals of a company playing to keep playing across decades.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Galiano exists to mine gold profitably and return value to shareholders — a perfectly rational finite objective but not an enduring vision of a better future [2]. The company's communications center entirely on production ounces, AISC targets, and reserve expansion with no articulated purpose beyond extraction economics.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appears stable under CEO Matt Badylak (appointed June 2021) with the addition of COO Michael Cardinaels in September 2024 strengthening operational leadership [2]. However, the fatal community clash at Esaase raises questions about on-the-ground safety culture and the relationship between mining operations and security personnel. No specific employee satisfaction or retention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Galiano does not publicly reference learning from larger rivals like Barrick, Newmont, or AngloGold Ashanti. Competitive language focuses on production growth and cost reduction rather than self-improvement inspired by peers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2020 rebrand from Asanko Gold to Galiano Gold and the 2024 acquisition of Gold Fields' 45% JV stake to consolidate ownership demonstrate meaningful strategic adaptation [1][3]. These moves repositioned the company from a JV partner to a majority mine owner, though they represent incremental evolution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Acquiring Gold Fields' JV stake required capital commitment and operational confidence, and the accelerated $17M exploration program during a strong gold price environment shows willingness to invest for growth [1]. However, no evidence of leadership making costly contrarian bets or sacrificing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Galiano Gold offers a deeply discounted entry into a West African gold producer with significant production growth ahead. The forward P/E of 2.5x prices in massive earnings recovery from -$0.11 trailing EPS to $1.02 forward EPS, supported by 2026 production guidance of 140,000–160,000 oz (25% growth over 2025) [1]. Q4 2025 revenue of $159.7M beat estimates by 20.5%, and the balance sheet is strong with $108.3M cash, $37M debt, and an undrawn $75M credit facility [1]. With gold prices elevated above $2,000/oz and Galiano's AISC target of $2,000–$2,300/oz, the company is positioned for substantial free cash flow generation if execution meets guidance.</w:t>
      </w:r>
    </w:p>
    <w:p>
      <w:pPr>
        <w:spacing w:after="120"/>
      </w:pPr>
      <w:r>
        <w:rPr>
          <w:rFonts w:ascii="Calibri" w:hAnsi="Calibri"/>
          <w:b w:val="0"/>
          <w:color w:val="3A4A28"/>
          <w:sz w:val="20"/>
        </w:rPr>
        <w:t>The bear case is substantial. Galiano is a single-asset operator with 100% of production from one mine complex in Ghana, creating acute concentration and geopolitical risk [3]. The fatal 2025 clash at Esaase that killed a local resident and forced operational suspension highlights the social license risk inherent in West African mining [3]. Profit margin remains negative at -8.9% and ROE is -13.1%, raising questions about whether the mine can generate sustainable returns even with higher gold prices. The -2.6% revenue decline contradicts the growth narrative, and AISC of $2,000–$2,300/oz leaves razor-thin margins relative to current gold prices. Gold Fields' decision to divest its $108M stake in 2025 is a notable red flag from a sophisticated mining partner [3]. The $658M market cap and $2.52 stock price keep institutional interest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production ramp to 140,000–160,000 oz (25% growth) with potential to exceed guidance if Esaase deposit operates without community disruption [1]</w:t>
      </w:r>
    </w:p>
    <w:p>
      <w:pPr>
        <w:spacing w:before="40" w:after="40"/>
        <w:ind w:left="283"/>
      </w:pPr>
      <w:r>
        <w:rPr>
          <w:rFonts w:ascii="Calibri" w:hAnsi="Calibri"/>
          <w:b/>
          <w:color w:val="4A6B25"/>
          <w:sz w:val="20"/>
        </w:rPr>
        <w:t xml:space="preserve">2. </w:t>
      </w:r>
      <w:r>
        <w:rPr>
          <w:rFonts w:ascii="Calibri" w:hAnsi="Calibri"/>
          <w:b w:val="0"/>
          <w:color w:val="3A4A28"/>
          <w:sz w:val="20"/>
        </w:rPr>
        <w:t>Gold price strength above $2,000/oz amplifying free cash flow at Galiano's guided AISC of $2,000–$2,300/oz [1]</w:t>
      </w:r>
    </w:p>
    <w:p>
      <w:pPr>
        <w:spacing w:before="40" w:after="40"/>
        <w:ind w:left="283"/>
      </w:pPr>
      <w:r>
        <w:rPr>
          <w:rFonts w:ascii="Calibri" w:hAnsi="Calibri"/>
          <w:b/>
          <w:color w:val="4A6B25"/>
          <w:sz w:val="20"/>
        </w:rPr>
        <w:t xml:space="preserve">3. </w:t>
      </w:r>
      <w:r>
        <w:rPr>
          <w:rFonts w:ascii="Calibri" w:hAnsi="Calibri"/>
          <w:b w:val="0"/>
          <w:color w:val="3A4A28"/>
          <w:sz w:val="20"/>
        </w:rPr>
        <w:t>Accelerated $17M exploration program potentially expanding the 30+ million tonne reserve base and extending mine life beyond current projections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in Ghana with 100% of revenue from the Asanko mine complex — any operational disruption (community conflict, regulatory change, geological issues) halts all production [3]</w:t>
      </w:r>
    </w:p>
    <w:p>
      <w:pPr>
        <w:spacing w:before="40" w:after="40"/>
        <w:ind w:left="283"/>
      </w:pPr>
      <w:r>
        <w:rPr>
          <w:rFonts w:ascii="Calibri" w:hAnsi="Calibri"/>
          <w:b/>
          <w:color w:val="4A6B25"/>
          <w:sz w:val="20"/>
        </w:rPr>
        <w:t xml:space="preserve">2. </w:t>
      </w:r>
      <w:r>
        <w:rPr>
          <w:rFonts w:ascii="Calibri" w:hAnsi="Calibri"/>
          <w:b w:val="0"/>
          <w:color w:val="3A4A28"/>
          <w:sz w:val="20"/>
        </w:rPr>
        <w:t>Social license risk following the fatal 2025 Esaase clash — community opposition could delay the Esaase deposit expansion that underpins 2026 production guidance [3]</w:t>
      </w:r>
    </w:p>
    <w:p>
      <w:pPr>
        <w:spacing w:before="40" w:after="40"/>
        <w:ind w:left="283"/>
      </w:pPr>
      <w:r>
        <w:rPr>
          <w:rFonts w:ascii="Calibri" w:hAnsi="Calibri"/>
          <w:b/>
          <w:color w:val="4A6B25"/>
          <w:sz w:val="20"/>
        </w:rPr>
        <w:t xml:space="preserve">3. </w:t>
      </w:r>
      <w:r>
        <w:rPr>
          <w:rFonts w:ascii="Calibri" w:hAnsi="Calibri"/>
          <w:b w:val="0"/>
          <w:color w:val="3A4A28"/>
          <w:sz w:val="20"/>
        </w:rPr>
        <w:t>AISC of $2,000–$2,300/oz leaves minimal margin cushion if gold prices decline — a 10% gold price pullback could eliminate profitability entirely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involving ore extraction, processing, and refining that AI structurally cannot displace [2]. Galiano's core business — operating open-pit mines in Ghana — requires heavy machinery, geological expertise, and on-the-ground labor that no AI system can substitute. If anything, rising AI infrastructure demand (data centers, semiconductors) increases electricity consumption and economic activity that supports gold as an inflation hedge and store of value. AI Opportunity (0/1): Galiano generates zero revenue from AI-related products or services and has not disclosed any AI-driven operational efficiency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Galiano Gold Q4 2025 Earnings Call — record revenue, 2026 guidance of 140k–160k oz, $108.3M cash, February 2026</w:t>
      </w:r>
    </w:p>
    <w:p>
      <w:pPr>
        <w:spacing w:before="20" w:after="20"/>
        <w:ind w:left="170"/>
      </w:pPr>
      <w:r>
        <w:rPr>
          <w:rFonts w:ascii="Calibri" w:hAnsi="Calibri"/>
          <w:b/>
          <w:color w:val="4A6B25"/>
          <w:sz w:val="15"/>
        </w:rPr>
        <w:t xml:space="preserve">2. </w:t>
      </w:r>
      <w:r>
        <w:rPr>
          <w:rFonts w:ascii="Calibri" w:hAnsi="Calibri"/>
          <w:b w:val="0"/>
          <w:color w:val="3A4A28"/>
          <w:sz w:val="17"/>
        </w:rPr>
        <w:t>Galiano Gold Corporate Website — management team, corporate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Mining.com / Seeking Alpha — Esaase deposit clash, operational suspension, Gold Fields divestiture,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GAU (Galiano Gold),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