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GBDC</w:t>
      </w:r>
      <w:r>
        <w:rPr>
          <w:rFonts w:ascii="Calibri" w:hAnsi="Calibri"/>
          <w:b/>
          <w:color w:val="1A2010"/>
          <w:sz w:val="40"/>
        </w:rPr>
        <w:t xml:space="preserve">  Golub Capital BDC,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2026-04-12 · Inspire: 16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Golub Capital BDC is an externally managed, non-diversified business development company that invests primarily in first-lien senior secured and one-stop loans to U.S. middle-market companies sponsored by private equity firms. GBDC is managed by Golub Capital LLC, a leading private credit manager with over $75B AUM led by founder-CEO David Golub.</w:t>
      </w:r>
    </w:p>
    <w:p>
      <w:r>
        <w:rPr>
          <w:rFonts w:ascii="Calibri" w:hAnsi="Calibri"/>
          <w:b/>
          <w:color w:val="6E8450"/>
          <w:sz w:val="18"/>
        </w:rPr>
        <w:t>30 Employees · https://golubcapitalbdc.com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GBDC has consistently grown NAV and the portfolio through multiple credit cycles since its 2010 IPO, and the September 2024 merger with Golub Capital BDC 3 meaningfully scaled the vehicle while preserving first-lien senior secured credit quality [1]. AI Deployment (1/2): Golub Capital has publicly invested in proprietary credit-analytics technology under CIO Christina Czarnecki, and the Stanford Golub Capital Social Impact Lab signals commitment to data and analytics, but no specific AI revenue or cost-savings figures are disclosed [3]. Market Share (1/2): Top-tier middle-market private credit manager with durable sponsor relationships, but GBDC itself is mid-pack among externally managed BDCs behind ARCC and BXSL by scale [1]. Pipeline (0/2): Innovation in a BDC is largely origination flow; no specific next-gen product pipeline is meaningful for this business model. R&amp;D Intensity (0/1): Not an R&amp;D-driven business — metric is scored against industry norms and BDCs do not compete on technology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Golub Capital's stated purpose — providing reliable, partnership-oriented financing to middle-market companies — is specific and has been consistently lived out over the parent firm's 30+ year history under David Golub's leadership [3]. Community Impact (2/2): The Golub Capital Social Impact Lab at Stanford GSB is a substantial, distinctive philanthropic commitment with measurable academic output, and the firm runs meaningful employee volunteer and community programs [3]. Employee Retention (1/2): Parent Golub Capital rates 3.9/5 on Glassdoor with 86% recommending to a friend, suggesting above-average culture, but no standout tenure or turnover data specific to GBDC [3]. Insider Buying (0/2): No meaningful net open-market insider buying reported in the last 12 months; David Golub's stake is primarily through the management company rather than GBDC common shares.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GBDC's balance sheet is typical for a leveraged BDC. Q1 FY26 net investment income per share was $0.37 against a $0.39 quarterly dividend, indicating coverage right at 1.0x after the supplemental distribution framework [1][2]. Debt-to-equity is elevated (~110-120%) reflecting regulatory leverage allowed under the 150% asset coverage ratio [1]. Forward P/E near 8 and a ~10% dividend yield screen cheaply, but NAV-per-share pressure from credit markdowns in a slowing PE-backed-borrower environment is a real infrastructure risk [1]. Liquidity floor cleared: ~1.3M avg daily volume × ~$14 price = ~$18M, well above the $1M threshold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Golub Capital BDC inherits the infinite-game credibility of its founder-led parent manager — 30+ years of consistent first-lien senior-secured discipline and multi-cycle execution. But as an externally managed BDC, GBDC itself is structurally a finite-game vehicle tied to management-fee economics, quarterly dividend optics, and the underlying leveraged-lending cycle.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Golub Capital's purpose — being the partner of choice for middle-market companies through disciplined senior-secured lending — has been consistently articulated and executed for 30+ years under David Golub's leadership, with recognition including the 2025 HBS Club of New York Business Leadership Award [3]. The cause survives credit cycles, but the BDC wrapper is a capital-markets vehicle rather than a company with a transformative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Parent Golub Capital earns 3.9/5 on Glassdoor with 86% recommending to a friend, work-life balance 3.7, and culture/values 3.7 — above-average but not exceptional [3]. Golub emphasizes teamwork and collaborative leadership publicly and invests in employee development, but there is no standout retention data to qualify this as a high-trust organization in Sinek's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BDC management commentary focuses on portfolio metrics and yield competition rather than learning from rivals, and the industry's competitive language is largely about origination share and spreads rather than mission-driven improvement [1]. No clear evidence that GBDC frames Ares, Blackstone Private Credit, or Owl Rock as worthy rivals in a Sinekian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GBDC has adapted through scale (the 2024 GBDC 3 merger, multiple secondary offerings), shifted portfolio composition toward one-stop senior loans, and expanded into adjacent structured products within the Golub platform [1]. The changes are incremental refinements of a stable lending model rather than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has held underwriting discipline through hot credit markets, maintained a first-lien-heavy book, and absorbed NAV pressure rather than reaching for yield — a quietly courageous posture [1]. Offsetting that, the external management structure incentivizes AUM growth and fee generation in ways that can conflict with shareholder-first capital allocation.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GBDC is a high-quality first-lien private credit vehicle at a reasonable valuation. Q1 FY26 NII per share of $0.37 roughly covers the base dividend, and the ~10.8% dividend yield is supported by a predominantly senior-secured portfolio originated through Golub Capital's 30+ year middle-market franchise [1][3]. The 2024 GBDC 3 merger added scale and operating efficiency, and the manager's disciplined underwriting through multiple credit cycles under founder-CEO David Golub provides a credibility anchor rare among externally managed BDCs [1]. Forward P/E near 8.5 and a price near NAV make the setup attractive if middle-market credit performance stays benign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private credit is entering a tougher part of the cycle. Middle-market PE-backed borrowers face margin pressure from higher-for-longer rates, softening software/services demand, and potential AI disruption in portfolio companies, which can compress BDC NAV via fair-value markdowns [1][5]. NII already missed revenue consensus materially in Q1 FY26 ($110M actual vs $209M consensus), and net investment income stepped down quarter-over-quarter from $0.38 to $0.37, suggesting the dividend has limited cushion if non-accruals rise [1][2]. Sustainalytics rates GBDC's ESG management 'Weak,' external management fees create structural drag, and the external-manager conflict of interest is a permanent governance overhang [5]. Dividend growth has stalled, with the 5yr CAGR near zero, weakening the dividend quality read.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Stable or rising base net investment income coverage of the $0.39 quarterly dividend through FY26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Benign credit environment with non-accruals remaining below 1% of fair value, supporting NAV stability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Scale benefits from the GBDC 3 merger flowing through the fee structure and deleveraging the management-fee burden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Middle-market credit deterioration — PE-backed borrower stress could drive non-accruals up and force NAV markdowns and dividend cuts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Higher-for-longer rates pressuring leveraged portfolio companies — interest coverage is already thin across the mid-market private credit universe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External management structure — fee drag and potential AUM-growth conflicts of interest limit shareholder-first capital allocation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Private credit underwriting is a relationship-, negotiation-, and diligence-driven business that AI cannot replace — loan structuring, sponsor relationships, and workout/restructuring expertise are human-led [3]. AI poses some indirect risk via potential disruption to mid-market borrowers (business services, software, consulting exposures in the portfolio), and Sustainalytics rates GBDC's ESG risk management 'Weak,' but analysts do not flag AI as a direct business-model threat to BDCs [5]. AI Opportunity (0/1): Golub Capital uses AI internally for credit analytics but no quantified AI revenue or cost savings are disclosed.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16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Golub Capital BDC Q1 FY2026 Earnings Release — NII $0.37/sh, revenue $110M,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/ Benzinga / TheMarketsDaily — GBDC valuation, dividend, and analyst commentary,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Golub Capital corporate governance, Our Team page, and Stanford Social Impact Lab disclosures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Wikipedia — Golub Capital company history and AUM,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Sustainalytics ESG Risk Rating for Golub Capital BDC,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