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GDDY</w:t>
      </w:r>
      <w:r>
        <w:rPr>
          <w:rFonts w:ascii="Calibri" w:hAnsi="Calibri"/>
          <w:b/>
          <w:color w:val="1A2010"/>
          <w:sz w:val="40"/>
        </w:rPr>
        <w:t xml:space="preserve">  GoDaddy Inc.</w:t>
      </w:r>
    </w:p>
    <w:p>
      <w:pPr>
        <w:spacing w:after="120"/>
      </w:pPr>
      <w:r>
        <w:rPr>
          <w:rFonts w:ascii="Calibri" w:hAnsi="Calibri"/>
          <w:b/>
          <w:color w:val="6E8450"/>
          <w:sz w:val="18"/>
        </w:rPr>
        <w:t>GROWTH SLEEVE · 2026-04-17 · Inspire: -83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NYSE · United States</w:t>
      </w:r>
    </w:p>
    <w:p>
      <w:pPr>
        <w:spacing w:after="80"/>
      </w:pPr>
      <w:r>
        <w:rPr>
          <w:rFonts w:ascii="Calibri" w:hAnsi="Calibri"/>
          <w:b w:val="0"/>
          <w:color w:val="3A4A28"/>
          <w:sz w:val="20"/>
        </w:rPr>
        <w:t>GoDaddy is the world's largest domain registrar and a leading web services company serving small businesses and entrepreneurs. The company operates through Applications &amp; Commerce (Websites + Marketing, Managed WordPress, GoDaddy Airo AI, Payments) and Core Platform (domains, hosting, security, SSL certificates) segments.</w:t>
      </w:r>
    </w:p>
    <w:p>
      <w:r>
        <w:rPr>
          <w:rFonts w:ascii="Calibri" w:hAnsi="Calibri"/>
          <w:b/>
          <w:color w:val="6E8450"/>
          <w:sz w:val="18"/>
        </w:rPr>
        <w:t>5,845 Employees · https://www.godaddy.com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GoDaddy grew from $4.09B (2022) to $4.95B (2025) revenue while simultaneously transforming from a domain registrar into an integrated SMB platform with AI, payments, and e-commerce capabilities [1]. Applications &amp; Commerce grew 17% YoY in Q1 2025 driven by Airo adoption. The company generated $1.61B in free cash flow in 2025, demonstrating financial discipline alongside product evolution. AI Deployment (2/2): GoDaddy Airo is a shipping AI product that helps small businesses create websites, logos, marketing campaigns, and email content — a tangible AI deployment driving attachment rates and segment growth [2][3]. The company runs 20-30 A/B experiments per month to optimize AI features. Market Share (2/2): GoDaddy is the world's largest domain registrar with 21M+ customers, dominant market share in SMB web presence, and an expanding commerce/payments ecosystem [1]. Pipeline (1/2): Airo feature expansion, GoDaddy Payments growth, and international SMB market penetration represent concrete pipeline items, though 2026 guidance of 6% growth is modest. R&amp;D Intensity (0/1): R&amp;D investment is meaningful but not disclosed at levels that stand out versus software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GoDaddy's mission is to empower everyday entrepreneurs — clear and purposeful in democratizing access to web presence and commerce tools for small businesses. Not generic, but not transformative either. Community Impact (1/2): GoDaddy employs 5,845 people and its platform supports millions of small businesses. The company's SMB-focused tools create economic empowerment, though no specific foundation or charitable programs were identified [2]. Employee Retention (2/2): Glassdoor rating of 4.0/5 with 78% recommendation rate, 4.2 for work-life balance, and 4.0 for culture — notably strong for a tech company [4]. CEO Aman Bhutani's 'shokunin' philosophy of mastery creates a distinctive culture of experimentation and psychological safety, with the CTO stating 'evidence beats opinion every time' [3]. Insider Buying (1/2): Net insider selling in recent months — 20 sales and 0 purchases in the past 6 months, though most transactions appear to be routine RSU tax withholding sales [5]. No meaningful discretionary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GoDaddy's financial profile combines exceptional profitability metrics with extreme leverage. ROE of 192.9% (driven by negative book value from aggressive buybacks) and profit margin of 17.7% demonstrate strong earnings power [6]. Forward P/E of 7.2x and PEG of 0.68 represent deep value for a company generating $1.61B in FCF [1]. However, D/E of 1,795.7% (scoring 0 on that metric) reflects a highly leveraged capital structure from share repurchases — $3.7B in debt against minimal equity. Revenue growth of 6.8% YoY is modest, with 5-year CAGR of ~6.6% — this is a mature business. Gross margins of 63.6% and operating margins of 25.1% show efficient operations [6]. Normalized EBITDA margins guided to exceed 33% in 2026. Liquidity floor easily cleared: 2.29M avg volume × $84.26 = $193M daily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GoDaddy under CEO Aman Bhutani demonstrates meaningful infinite-game characteristics — the 'shokunin' philosophy of continuous mastery, a culture of experimentation (20-30 A/B tests monthly), and the patient transformation from domain registrar to AI-powered SMB platform [3]. The company has served small businesses since 1997 and continues investing in long-term platform capabilities. However, the aggressive financial engineering (1,796% D/E from buybacks) and near-term focus on margin expansion over growth investment reflect some finite-game tendencies.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GoDaddy's purpose — empowering everyday entrepreneurs to establish and grow their businesses online — is genuine and has been consistently pursued since 1997 [2]. The evolution from domain registrar to AI-powered business platform shows the cause adapting while remaining consistent. The CEO's 'shokunin' philosophy adds authentic leadership depth, though the cause hasn't reached the level of being validated through existential crises.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4.0/5 with 78% recommendation rate indicates solid employee satisfaction [4]. The CTO's statement that 'evidence beats opinion, every time' and the 'fail fast, learn faster' mantra suggest psychological safety for experimentation [3]. However, the company has gone through workforce reductions and strategic pivots that create organizational uncertainty. No exceptional trust evidence beyond industry-average indicators.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GoDaddy acknowledges competition from Shopify (commerce), Wix/Squarespace (website building), and Stripe (payments), using each rival's strengths to improve its own integrated platform [2]. The AI-first strategy with Airo is a direct response to competitive pressure from AI-native tools, showing the company learns from market dynamics rather than simply trying to protect legacy business.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GoDaddy has meaningfully evolved from a pure domain registrar to an integrated commerce, payments, and AI platform — the Applications &amp; Commerce segment now generates significant revenue alongside the Core Platform [1]. The Airo launch represents adaptation to the AI era. However, the core domain business still anchors the company, and the transformation has been incremental rather than a dramatic pivot.</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CEO Bhutani has invested heavily in Airo and the AI-first transformation while accepting near-term guidance criticism (stock down 59% in 2025) rather than cutting R&amp;D to protect earnings [1][3]. Providing conservative 2026 guidance ($5.2B-$5.3B, ~6% growth) rather than inflated targets shows leadership willing to underpromise. The $1.8B FCF guidance with continued &gt;1:1 conversion demonstrates financial discipline alongside strategic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GoDaddy is a deeply undervalued FCF machine trading at 7.2x forward P/E and 0.68 PEG, generating $1.61B in annual free cash flow from 21M+ SMB customers [1][6]. The AI-first transformation through Airo is driving Applications &amp; Commerce segment growth of 17% YoY, and 2026 guidance projects $5.2B-$5.3B revenue with normalized EBITDA margins exceeding 33% and $1.8B FCF [1]. CEO Bhutani's culture of experimentation (20-30 A/B tests monthly) is systematically improving customer lifetime value and attachment rates [3]. The stock at $84.26 (down ~59% from highs) prices in minimal growth, creating substantial re-rating upside if Airo adoption accelerates and the company's value-creation story gains market recognition. EPS growth of 31.7% YoY demonstrates operating leverage despite modest top-line growth.</w:t>
      </w:r>
    </w:p>
    <w:p>
      <w:pPr>
        <w:spacing w:after="120"/>
      </w:pPr>
      <w:r>
        <w:rPr>
          <w:rFonts w:ascii="Calibri" w:hAnsi="Calibri"/>
          <w:b w:val="0"/>
          <w:color w:val="3A4A28"/>
          <w:sz w:val="20"/>
        </w:rPr>
        <w:t>The bear case focuses on extreme leverage, modest growth, and competitive threats. D/E of 1,795.7% from aggressive share buybacks creates significant balance sheet risk — $3.7B in debt leaves little margin of safety if the business declines [6]. Revenue growth of just 6.8% YoY and conservative 2026 guidance (~6% growth) suggest GoDaddy may be a mature, low-growth business masquerading as a tech platform. The FTC settlement over data security failures (multiple breaches 2019-2022) raises governance concerns about security practices for a company hosting millions of small business websites [7]. Generic AI tools (ChatGPT, Wix AI, Shopify Magic) increasingly offer website creation and marketing capabilities that could erode GoDaddy's value-added services premium. The stock's 59% decline reflects market skepticism about the growth trajectory and AI transformation narrative [1]. Promotional term-mix shifts and the .CO registry contract expiration create near-term revenue headwinds.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Airo AI adoption scaling across 21M+ customer base, driving attachment rates and Applications &amp; Commerce revenue growth toward low double-digits in 2026 [1][3]</w:t>
      </w:r>
    </w:p>
    <w:p>
      <w:pPr>
        <w:spacing w:before="40" w:after="40"/>
        <w:ind w:left="283"/>
      </w:pPr>
      <w:r>
        <w:rPr>
          <w:rFonts w:ascii="Calibri" w:hAnsi="Calibri"/>
          <w:b/>
          <w:color w:val="4A6B25"/>
          <w:sz w:val="20"/>
        </w:rPr>
        <w:t xml:space="preserve">2. </w:t>
      </w:r>
      <w:r>
        <w:rPr>
          <w:rFonts w:ascii="Calibri" w:hAnsi="Calibri"/>
          <w:b w:val="0"/>
          <w:color w:val="3A4A28"/>
          <w:sz w:val="20"/>
        </w:rPr>
        <w:t>FCF generation of $1.8B in 2026 at 7.2x forward P/E creates buyback capacity and valuation re-rating potential — stock down 59% from highs despite profitable growth [1][6]</w:t>
      </w:r>
    </w:p>
    <w:p>
      <w:pPr>
        <w:spacing w:before="40" w:after="40"/>
        <w:ind w:left="283"/>
      </w:pPr>
      <w:r>
        <w:rPr>
          <w:rFonts w:ascii="Calibri" w:hAnsi="Calibri"/>
          <w:b/>
          <w:color w:val="4A6B25"/>
          <w:sz w:val="20"/>
        </w:rPr>
        <w:t xml:space="preserve">3. </w:t>
      </w:r>
      <w:r>
        <w:rPr>
          <w:rFonts w:ascii="Calibri" w:hAnsi="Calibri"/>
          <w:b w:val="0"/>
          <w:color w:val="3A4A28"/>
          <w:sz w:val="20"/>
        </w:rPr>
        <w:t>Normalized EBITDA margin expansion beyond 33%, demonstrating operating leverage from AI-driven efficiencies and platform scale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leverage (1,795.7% D/E, $3.7B debt) from buyback-driven capital structure leaves minimal balance sheet cushion if cash flows deteriorate [6]</w:t>
      </w:r>
    </w:p>
    <w:p>
      <w:pPr>
        <w:spacing w:before="40" w:after="40"/>
        <w:ind w:left="283"/>
      </w:pPr>
      <w:r>
        <w:rPr>
          <w:rFonts w:ascii="Calibri" w:hAnsi="Calibri"/>
          <w:b/>
          <w:color w:val="4A6B25"/>
          <w:sz w:val="20"/>
        </w:rPr>
        <w:t xml:space="preserve">2. </w:t>
      </w:r>
      <w:r>
        <w:rPr>
          <w:rFonts w:ascii="Calibri" w:hAnsi="Calibri"/>
          <w:b w:val="0"/>
          <w:color w:val="3A4A28"/>
          <w:sz w:val="20"/>
        </w:rPr>
        <w:t>FTC settlement over data security failures (2019-2022 breaches involving 28,000 customer credentials) signals governance and cybersecurity weaknesses for a web hosting platform [7]</w:t>
      </w:r>
    </w:p>
    <w:p>
      <w:pPr>
        <w:spacing w:before="40" w:after="40"/>
        <w:ind w:left="283"/>
      </w:pPr>
      <w:r>
        <w:rPr>
          <w:rFonts w:ascii="Calibri" w:hAnsi="Calibri"/>
          <w:b/>
          <w:color w:val="4A6B25"/>
          <w:sz w:val="20"/>
        </w:rPr>
        <w:t xml:space="preserve">3. </w:t>
      </w:r>
      <w:r>
        <w:rPr>
          <w:rFonts w:ascii="Calibri" w:hAnsi="Calibri"/>
          <w:b w:val="0"/>
          <w:color w:val="3A4A28"/>
          <w:sz w:val="20"/>
        </w:rPr>
        <w:t>AI commoditization risk — generic AI tools from competitors (ChatGPT, Wix AI, Shopify Magic, Squarespace) offer similar website creation and marketing capabilities, threatening GoDaddy's differentiation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GoDaddy is EXPOSED — the core domain registration and hosting businesses face moderate AI disruption risk as website builders, AI agents, and conversational interfaces could reduce demand for traditional web presence tools [3]. However, the company's pivot to Airo (AI-powered business creation) positions it to ride the AI wave rather than be displaced by it. The 21M+ customer base with payment relationships creates switching costs. Generic AI tools (ChatGPT, Claude) can already generate websites and marketing copy, threatening the differentiation of GoDaddy's value-added services. The FTC settlement over data security failures (2019-2022 breaches) adds governance risk [7]. AI Opportunity (1/1): Airo generates measurable revenue through increased attachment rates — A&amp;C segment growing 17% YoY driven specifically by AI-powered tools for website creation, logo design, and marketing content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-83</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r>
        <w:rPr>
          <w:rFonts w:ascii="Calibri" w:hAnsi="Calibri"/>
          <w:b w:val="0"/>
          <w:color w:val="9DAF88"/>
          <w:sz w:val="17"/>
        </w:rPr>
        <w:t xml:space="preserve">  ·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GoDaddy Q4 2025 Earnings Release — $4.95B FY revenue, $1.27B Q4 revenue, $1.61B FCF, 2026 guidance $5.195B-$5.275B, February 2026</w:t>
      </w:r>
    </w:p>
    <w:p>
      <w:pPr>
        <w:spacing w:before="20" w:after="20"/>
        <w:ind w:left="170"/>
      </w:pPr>
      <w:r>
        <w:rPr>
          <w:rFonts w:ascii="Calibri" w:hAnsi="Calibri"/>
          <w:b/>
          <w:color w:val="4A6B25"/>
          <w:sz w:val="15"/>
        </w:rPr>
        <w:t xml:space="preserve">2. </w:t>
      </w:r>
      <w:r>
        <w:rPr>
          <w:rFonts w:ascii="Calibri" w:hAnsi="Calibri"/>
          <w:b w:val="0"/>
          <w:color w:val="3A4A28"/>
          <w:sz w:val="17"/>
        </w:rPr>
        <w:t>GoDaddy corporate website and investor relations — 21M+ customers, platform overview, SMB mission</w:t>
      </w:r>
    </w:p>
    <w:p>
      <w:pPr>
        <w:spacing w:before="20" w:after="20"/>
        <w:ind w:left="170"/>
      </w:pPr>
      <w:r>
        <w:rPr>
          <w:rFonts w:ascii="Calibri" w:hAnsi="Calibri"/>
          <w:b/>
          <w:color w:val="4A6B25"/>
          <w:sz w:val="15"/>
        </w:rPr>
        <w:t xml:space="preserve">3. </w:t>
      </w:r>
      <w:r>
        <w:rPr>
          <w:rFonts w:ascii="Calibri" w:hAnsi="Calibri"/>
          <w:b w:val="0"/>
          <w:color w:val="3A4A28"/>
          <w:sz w:val="17"/>
        </w:rPr>
        <w:t>GeekWire and industry analysis — GoDaddy Airo AI tools, CEO Bhutani 'shokunin' philosophy, experimentation culture, A&amp;C segment 17% growth</w:t>
      </w:r>
    </w:p>
    <w:p>
      <w:pPr>
        <w:spacing w:before="20" w:after="20"/>
        <w:ind w:left="170"/>
      </w:pPr>
      <w:r>
        <w:rPr>
          <w:rFonts w:ascii="Calibri" w:hAnsi="Calibri"/>
          <w:b/>
          <w:color w:val="4A6B25"/>
          <w:sz w:val="15"/>
        </w:rPr>
        <w:t xml:space="preserve">4. </w:t>
      </w:r>
      <w:r>
        <w:rPr>
          <w:rFonts w:ascii="Calibri" w:hAnsi="Calibri"/>
          <w:b w:val="0"/>
          <w:color w:val="3A4A28"/>
          <w:sz w:val="17"/>
        </w:rPr>
        <w:t>Glassdoor employee reviews — 4.0/5 rating, 78% recommendation rate, 4.2 work-life balance,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Insider trading filings — 20 sales, 0 purchases in past 6 months, primarily RSU tax withholding,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yfinance data for GDDY (GoDaddy Inc.), retrieved April 17, 2026</w:t>
      </w:r>
    </w:p>
    <w:p>
      <w:pPr>
        <w:spacing w:before="20" w:after="20"/>
        <w:ind w:left="170"/>
      </w:pPr>
      <w:r>
        <w:rPr>
          <w:rFonts w:ascii="Calibri" w:hAnsi="Calibri"/>
          <w:b/>
          <w:color w:val="4A6B25"/>
          <w:sz w:val="15"/>
        </w:rPr>
        <w:t xml:space="preserve">7. </w:t>
      </w:r>
      <w:r>
        <w:rPr>
          <w:rFonts w:ascii="Calibri" w:hAnsi="Calibri"/>
          <w:b w:val="0"/>
          <w:color w:val="3A4A28"/>
          <w:sz w:val="17"/>
        </w:rPr>
        <w:t>FTC Press Release — Order finalizing settlement with GoDaddy over data security failures (2019-2022 breaches), May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