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GELS</w:t>
      </w:r>
      <w:r>
        <w:rPr>
          <w:rFonts w:ascii="Calibri" w:hAnsi="Calibri"/>
          <w:b/>
          <w:color w:val="1A2010"/>
          <w:sz w:val="40"/>
        </w:rPr>
        <w:t xml:space="preserve">  Gelteq Limited</w:t>
      </w:r>
    </w:p>
    <w:p>
      <w:pPr>
        <w:spacing w:after="120"/>
      </w:pPr>
      <w:r>
        <w:rPr>
          <w:rFonts w:ascii="Calibri" w:hAnsi="Calibri"/>
          <w:b/>
          <w:color w:val="6E8450"/>
          <w:sz w:val="18"/>
        </w:rPr>
        <w:t>GROWTH SLEEVE · 2026-05-05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Australia</w:t>
      </w:r>
    </w:p>
    <w:p>
      <w:pPr>
        <w:spacing w:after="80"/>
      </w:pPr>
      <w:r>
        <w:rPr>
          <w:rFonts w:ascii="Calibri" w:hAnsi="Calibri"/>
          <w:b w:val="0"/>
          <w:color w:val="3A4A28"/>
          <w:sz w:val="20"/>
        </w:rPr>
        <w:t>Gelteq Limited develops and commercializes white-label gel-based delivery solutions for humans and animals in the United States and Australia. The company offers edible gels for prescription drugs, nutraceuticals, pet care, sports nutrition, and over-the-counter products, utilizing its proprietary oral gel delivery platform to improve bioavailability and reduce choking risk.</w:t>
      </w:r>
    </w:p>
    <w:p>
      <w:r>
        <w:rPr>
          <w:rFonts w:ascii="Calibri" w:hAnsi="Calibri"/>
          <w:b/>
          <w:color w:val="6E8450"/>
          <w:sz w:val="18"/>
        </w:rPr>
        <w:t>7 Employees · https://www.gelteq.com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Gelteq has developed its proprietary oral gel delivery platform since 2017 and demonstrated a 22%+ increase in CBD bioavailability versus FDA-approved oil products in January 2026 preclinical results [1]. However, no commercial product has achieved meaningful scale. AI Deployment (0/2): No evidence of AI deployment in formulation, manufacturing, or commercial operations [2]. Market Share (0/2): Gelteq is a micro-cap pre-revenue company with negligible market share in the $1.5T global pharmaceutical delivery market; the gel delivery niche has multiple established competitors [1]. Pipeline (1/2): The company has preclinical data supporting its CBD delivery platform and is pursuing Australia's SAS program for accelerated market access, with potential broader international expansion [1]. R&amp;D Intensity (1/1): As a development-stage company spending substantially all resources on R&amp;D relative to its minimal revenue, R&amp;D intensity is high relative to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Gelteq's mission of improving oral drug and nutrient delivery through gel technology is genuine but generic — interchangeable with dozens of drug delivery startups [2]. Community Impact (0/2): No evidence of charitable programs, community investment, or philanthropic initiatives beyond the company's commercial operations [3]. Employee Retention (0/2): With only 7 employees and limited operating history as a public company, meaningful retention data is unavailable [2]. Insider Buying (1/2): Co-founders Nathan Givoni and Simon Szewach maintain significant equity stakes, demonstrating personal financial commitment to the company's success, though this is founder equity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(18,431) × stock_price ($0.60) = $11,059, which is far below the $1,000,000 minimum threshold [4]. Infrastructure score is automatically 0 regardless of other metrics. For reference: the company has $6.4M market cap, revenue of only $413K (2025), negative ROE of -43.0%, and zero profit margin. D/E of 26.7% is the only healthy metric. The stock is essentially untradeable for any institutional investor.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Gelteq is a pre-revenue micro-cap company focused on survival and commercialization rather than infinite game thinking. The company's 7-person team and $6.4M market cap make long-term strategic flexibility a luxury it cannot yet afford. Its existence depends on successful commercialization within a narrow funding runway.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Shallow cause (1 point). Gelteq's purpose of improving drug and nutrient delivery through gel technology is genuine and serves patient welfare, but it is not distinctive enough to qualify as a Just Cause — dozens of drug delivery companies articulate similar missions without the depth or validation that Sinek would require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 points). With only 7 employees and a leadership transition (Szewach stepping down from Executive Chairman to Director in March 2025), the organizational foundation is inherently fragile [2]. The company cannot afford the luxury of building deep trust cultures when survival depends on a handful of individuals executing perfectly.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points). No evidence in management communications of acknowledging competitors' strengths or using competitive dynamics for self-improvement. The company's competitive positioning focuses on its gel platform's superiority over oils and capsules rather than learning from established drug delivery leaders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 points). Gelteq has a single technology platform (edible gel delivery) with limited ability to pivot if the market doesn't materialize. The company is too small and too early-stage to have demonstrated any strategic flexibility — it has not yet proven its first business model, let alone pivoted to a new one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 points). As a development-stage micro-cap, Gelteq's leadership decisions are driven by capital constraints and survival rather than long-term conviction versus short-term pressure. The company has not yet faced the test of choosing long-term capability over near-term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Gelteq's proprietary oral gel delivery platform demonstrated a 22%+ improvement in CBD bioavailability versus FDA-approved oil formulations in January 2026 preclinical results, validating the technology's potential [1]. Revenue grew 188% in 2025 to $413K, and the company is pursuing Australia's SAS program for accelerated commercialization. The gel format addresses real patient needs — improved absorption, reduced choking risk, and better palatability — in the growing nutraceutical and pharmaceutical delivery markets.</w:t>
      </w:r>
    </w:p>
    <w:p>
      <w:pPr>
        <w:spacing w:after="120"/>
      </w:pPr>
      <w:r>
        <w:rPr>
          <w:rFonts w:ascii="Calibri" w:hAnsi="Calibri"/>
          <w:b w:val="0"/>
          <w:color w:val="3A4A28"/>
          <w:sz w:val="20"/>
        </w:rPr>
        <w:t>The bear case is overwhelming for IOWN purposes. Gelteq has a $6.4M market cap, 7 employees, and generates only $413K in annual revenue while burning through cash at an accelerating rate (losses of $6.65M in 2025, up 87% YoY) [4]. The stock is essentially untradeable with daily dollar volume of only $11K, making it impossible for any institutional investor to build or exit a position. Negative ROE of -43%, zero profit margin, and no path to profitability within visible timeframes render this a speculative venture investment rather than a screener candidate. The preclinical-stage technology has not been validated in human trials, and the company faces competition from well-funded drug delivery platforms with established commercial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Progression from preclinical CBD bioavailability data to human clinical validation, which would significantly de-risk the platform technology [1]</w:t>
      </w:r>
    </w:p>
    <w:p>
      <w:pPr>
        <w:spacing w:before="40" w:after="40"/>
        <w:ind w:left="283"/>
      </w:pPr>
      <w:r>
        <w:rPr>
          <w:rFonts w:ascii="Calibri" w:hAnsi="Calibri"/>
          <w:b/>
          <w:color w:val="4A6B25"/>
          <w:sz w:val="20"/>
        </w:rPr>
        <w:t xml:space="preserve">2. </w:t>
      </w:r>
      <w:r>
        <w:rPr>
          <w:rFonts w:ascii="Calibri" w:hAnsi="Calibri"/>
          <w:b w:val="0"/>
          <w:color w:val="3A4A28"/>
          <w:sz w:val="20"/>
        </w:rPr>
        <w:t>Australia SAS program approval enabling early revenue generation and proof-of-concept for broader international commercialization [1]</w:t>
      </w:r>
    </w:p>
    <w:p>
      <w:pPr>
        <w:spacing w:before="40" w:after="40"/>
        <w:ind w:left="283"/>
      </w:pPr>
      <w:r>
        <w:rPr>
          <w:rFonts w:ascii="Calibri" w:hAnsi="Calibri"/>
          <w:b/>
          <w:color w:val="4A6B25"/>
          <w:sz w:val="20"/>
        </w:rPr>
        <w:t xml:space="preserve">3. </w:t>
      </w:r>
      <w:r>
        <w:rPr>
          <w:rFonts w:ascii="Calibri" w:hAnsi="Calibri"/>
          <w:b w:val="0"/>
          <w:color w:val="3A4A28"/>
          <w:sz w:val="20"/>
        </w:rPr>
        <w:t>White-label partnership with a larger nutraceutical or pharmaceutical company providing revenue validation and manufacturing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($11K daily dollar volume) makes position sizing impossible and creates severe price impact risk on any meaningful trade [4]</w:t>
      </w:r>
    </w:p>
    <w:p>
      <w:pPr>
        <w:spacing w:before="40" w:after="40"/>
        <w:ind w:left="283"/>
      </w:pPr>
      <w:r>
        <w:rPr>
          <w:rFonts w:ascii="Calibri" w:hAnsi="Calibri"/>
          <w:b/>
          <w:color w:val="4A6B25"/>
          <w:sz w:val="20"/>
        </w:rPr>
        <w:t xml:space="preserve">2. </w:t>
      </w:r>
      <w:r>
        <w:rPr>
          <w:rFonts w:ascii="Calibri" w:hAnsi="Calibri"/>
          <w:b w:val="0"/>
          <w:color w:val="3A4A28"/>
          <w:sz w:val="20"/>
        </w:rPr>
        <w:t>Cash burn rate of $6.65M annually against $6.4M market cap implies near-term dilutive capital raise or failure without additional funding [4]</w:t>
      </w:r>
    </w:p>
    <w:p>
      <w:pPr>
        <w:spacing w:before="40" w:after="40"/>
        <w:ind w:left="283"/>
      </w:pPr>
      <w:r>
        <w:rPr>
          <w:rFonts w:ascii="Calibri" w:hAnsi="Calibri"/>
          <w:b/>
          <w:color w:val="4A6B25"/>
          <w:sz w:val="20"/>
        </w:rPr>
        <w:t xml:space="preserve">3. </w:t>
      </w:r>
      <w:r>
        <w:rPr>
          <w:rFonts w:ascii="Calibri" w:hAnsi="Calibri"/>
          <w:b w:val="0"/>
          <w:color w:val="3A4A28"/>
          <w:sz w:val="20"/>
        </w:rPr>
        <w:t>Pre-revenue technology risk — gel platform has only preclinical validation; human trials, regulatory approval, and commercial partnerships remain unproven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Gelteq's core business — physical gel formulation and drug delivery — involves wet-lab chemistry and manufacturing processes that AI cannot directly replicate or displace [2]. However, AI-driven drug discovery platforms and computational formulation tools could accelerate competitors' development timelines, reducing Gelteq's first-mover advantage in gel delivery. The physical nature of the product (edible gels) provides moderate protection, but the company's lack of scale means it cannot leverage AI tools as effectively as larger pharma competitors. AI Opportunity (0/1): No evidence of AI revenue generation or AI-enhanced product development beyond traditional preclinical research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Gelteq January 2026 Press Release — positive preclinical results showing 22%+ CBD bioavailability improvement via oral gel platform</w:t>
      </w:r>
    </w:p>
    <w:p>
      <w:pPr>
        <w:spacing w:before="20" w:after="20"/>
        <w:ind w:left="170"/>
      </w:pPr>
      <w:r>
        <w:rPr>
          <w:rFonts w:ascii="Calibri" w:hAnsi="Calibri"/>
          <w:b/>
          <w:color w:val="4A6B25"/>
          <w:sz w:val="15"/>
        </w:rPr>
        <w:t xml:space="preserve">2. </w:t>
      </w:r>
      <w:r>
        <w:rPr>
          <w:rFonts w:ascii="Calibri" w:hAnsi="Calibri"/>
          <w:b w:val="0"/>
          <w:color w:val="3A4A28"/>
          <w:sz w:val="17"/>
        </w:rPr>
        <w:t>Gelteq Investor Relations, executive team profiles, and corporate website — company overview, leadership, and strategy</w:t>
      </w:r>
    </w:p>
    <w:p>
      <w:pPr>
        <w:spacing w:before="20" w:after="20"/>
        <w:ind w:left="170"/>
      </w:pPr>
      <w:r>
        <w:rPr>
          <w:rFonts w:ascii="Calibri" w:hAnsi="Calibri"/>
          <w:b/>
          <w:color w:val="4A6B25"/>
          <w:sz w:val="15"/>
        </w:rPr>
        <w:t xml:space="preserve">3. </w:t>
      </w:r>
      <w:r>
        <w:rPr>
          <w:rFonts w:ascii="Calibri" w:hAnsi="Calibri"/>
          <w:b w:val="0"/>
          <w:color w:val="3A4A28"/>
          <w:sz w:val="17"/>
        </w:rPr>
        <w:t>StockAnalysis.com and market research — Gelteq financial data, competitive landscape, and market context</w:t>
      </w:r>
    </w:p>
    <w:p>
      <w:pPr>
        <w:spacing w:before="20" w:after="20"/>
        <w:ind w:left="170"/>
      </w:pPr>
      <w:r>
        <w:rPr>
          <w:rFonts w:ascii="Calibri" w:hAnsi="Calibri"/>
          <w:b/>
          <w:color w:val="4A6B25"/>
          <w:sz w:val="15"/>
        </w:rPr>
        <w:t xml:space="preserve">4. </w:t>
      </w:r>
      <w:r>
        <w:rPr>
          <w:rFonts w:ascii="Calibri" w:hAnsi="Calibri"/>
          <w:b w:val="0"/>
          <w:color w:val="3A4A28"/>
          <w:sz w:val="17"/>
        </w:rPr>
        <w:t>Yahoo Finance — GELS key statistics, market data, volume metrics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