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GEMI</w:t>
      </w:r>
      <w:r>
        <w:rPr>
          <w:rFonts w:ascii="Calibri" w:hAnsi="Calibri"/>
          <w:b/>
          <w:color w:val="1A2010"/>
          <w:sz w:val="40"/>
        </w:rPr>
        <w:t xml:space="preserve">  Gemini Space Station, Inc.</w:t>
      </w:r>
    </w:p>
    <w:p>
      <w:pPr>
        <w:spacing w:after="120"/>
      </w:pPr>
      <w:r>
        <w:rPr>
          <w:rFonts w:ascii="Calibri" w:hAnsi="Calibri"/>
          <w:b/>
          <w:color w:val="6E8450"/>
          <w:sz w:val="18"/>
        </w:rPr>
        <w:t>GROWTH SLEEVE · 2026-04-23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NASDAQ · United States</w:t>
      </w:r>
    </w:p>
    <w:p>
      <w:pPr>
        <w:spacing w:after="80"/>
      </w:pPr>
      <w:r>
        <w:rPr>
          <w:rFonts w:ascii="Calibri" w:hAnsi="Calibri"/>
          <w:b w:val="0"/>
          <w:color w:val="3A4A28"/>
          <w:sz w:val="20"/>
        </w:rPr>
        <w:t>Gemini Space Station operates the Gemini cryptocurrency exchange platform, offering trading, custody, staking, yield products, and payments infrastructure for digital assets. Founded by Cameron and Tyler Winklevoss in 2014, the company went public in September 2025 at $28 per share. Gemini has since exited international markets (UK, EU, Australia), cut 25% of staff, and is pivoting toward prediction markets.</w:t>
      </w:r>
    </w:p>
    <w:p>
      <w:r>
        <w:rPr>
          <w:rFonts w:ascii="Calibri" w:hAnsi="Calibri"/>
          <w:b/>
          <w:color w:val="6E8450"/>
          <w:sz w:val="18"/>
        </w:rPr>
        <w:t>https://www.gemini.com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Since its September 2025 IPO at $28, GEMI has collapsed over 80% to ~$4.71, the company exited the UK, EU, and Australian markets, laid off 25% of its workforce, and lost its CFO, COO, and CLO within months of going public [1][2]. This represents catastrophic post-IPO execution failure, not innovation. AI Deployment (0/2): No evidence of AI-powered products or AI-driven operational improvements. The company operates a conventional crypto exchange platform [2]. Market Share (1/2): Gemini is a recognized but second-tier US crypto exchange, significantly behind Coinbase (COIN) in trading volume and user base. The company has been losing market position as it contracts internationally and reduces staff [1]. Pipeline (0/2): The pivot to prediction markets is strategically unclear and allegedly contradicts the international exchange growth narrative presented to IPO investors, triggering a securities class action lawsuit [1]. No specific product timelines or revenue visibility provided. R&amp;D Intensity (0/1): No evidence of above-average R&amp;D investment; the 25% staff reduction suggests cost-cutting rather than investment in next-generation capabilities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Gemini's stated focus on regulatory compliance and institutional-grade crypto services ('crypto needs rules') is functional but generic and undifferentiated from Coinbase's similar positioning [2]. The mission has not prevented strategic chaos post-IPO. Community Impact (0/2): The Gemini Earn program collapse froze customer assets in November 2022 following the FTX implosion; while Gemini eventually contributed $40M toward returning assets (under regulatory pressure), this represents harm mitigation rather than positive community impact [3]. Employee Retention (0/2): The 25% global workforce reduction and simultaneous departure of CFO Dan Chen, COO Marshall Beard, and CLO Tyler Meade just months after IPO indicate severe organizational instability and a dysfunctional culture [2]. Insider Buying (0/2): No evidence of insider buying post-IPO collapse. The Winklevoss twins' ownership represents founder stakes rather than conviction-driven purchases at current prices.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Gemini's financial profile reflects a pre-profit crypto exchange with severe cash burn. Revenue of $179.6M grew 39.4% YoY, the only bright spot in the financial picture [4]. However, the company burned $218.1M in operating cash flow, posted a net loss with EPS of -$15.52, and has zero profit margin [4]. D/E of 122.2% reflects $660.8M debt against $252.6M cash — the $425M IPO proceeds are being consumed by losses [1][4]. ROE of -416.5% and negative forward P/E indicate the company is deeply unprofitable with no near-term path to profitability. Liquidity floor cleared: 1.88M avg vol × $4.71 = $8.8M daily turnover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Gemini under the Winklevoss twins is playing a decidedly finite game — the company IPO'd in September 2025, lost three C-suite executives within months, cut 25% of staff, abandoned three international markets, and pivoted strategy to prediction markets in a pattern that suggests reactive survival rather than purposeful endurance. The securities class action alleging misrepresentation of strategy to IPO investors epitomizes finite game behavior — optimizing for the IPO event rather than building for the long term.</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Gemini's original positioning around 'regulated crypto' and institutional-grade digital asset infrastructure had elements of a cause, but the post-IPO strategic chaos — abandoning international expansion, pivoting to prediction markets, and losing key leadership — reveals no enduring purpose guiding decisions [1][2]. The company appears to be optimizing for survival rather than advancing a vision. Sinek would see a company that marketed a cause for the IPO but abandoned it at the first sign of difficulty (0/3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simultaneous departure of CFO, COO, and CLO just months after IPO — combined with 25% workforce reduction — indicates a deeply dysfunctional organizational environment [2]. Cameron Winklevoss assuming the departed COO's responsibilities consolidates power in the founding duo rather than building distributed leadership trust. The pattern of mass layoffs and executive exodus suggests employees are protecting themselves rather than advancing the mission (0/2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management acknowledging or learning from worthy rivals. The Winklevoss twins have historically positioned Gemini as the 'regulated' alternative to Coinbase and offshore exchanges, framing competition in terms of differentiation rather than self-improvement [2]. The strategic retreat from international markets while Coinbase and Binance expand suggests competitive capitulation rather than inspired rivalry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international crypto exchange to US-focused prediction markets platform represents a dramatic strategic shift [1]. While this is genuine existential flexibility — the company is willing to abandon its original strategy — the pivot appears driven by desperation (collapsing stock price, international market losses) rather than service to a Just Cause. Sinek distinguishes between flexibility-by-purpose and flexibility-by-panic (1/2 points).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IPO itself at $28/share amid peak crypto enthusiasm, followed by rapid strategic reversal, looks more like opportunistic timing than courageous leadership [1]. The Earn program collapse and $40M regulatory settlement demonstrate past leadership failures. The 25% workforce cut and international market exits are cost-cutting survival measures, not courageous investment decisions. No evidence of leadership sacrificing short-term results for long-term capability (0/2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Gemini's sole positive metric is revenue growth of 39.4% YoY to $179.6M, reflecting recovery in crypto trading volumes during the 2025 bull market [4]. The company holds a recognized brand in US crypto markets with institutional custody and regulatory compliance infrastructure that took years to build. The SEC's dismissal of its Earn program lawsuit (January 2026) removed one major legal overhang [3]. The pivot to prediction markets could capture growing demand for event-based trading products if executed successfully. At $4.71 per share (83% below IPO price), the stock could offer asymmetric upside if the company stabilizes operations and crypto markets recover.</w:t>
      </w:r>
    </w:p>
    <w:p>
      <w:pPr>
        <w:spacing w:after="120"/>
      </w:pPr>
      <w:r>
        <w:rPr>
          <w:rFonts w:ascii="Calibri" w:hAnsi="Calibri"/>
          <w:b w:val="0"/>
          <w:color w:val="3A4A28"/>
          <w:sz w:val="20"/>
        </w:rPr>
        <w:t>The bear case is overwhelming. GEMI has collapsed over 80% from its $28 IPO price in just seven months, triggering a securities class action lawsuit alleging the company misled investors about its strategic direction — allegedly planning a prediction markets pivot while marketing an international exchange growth story [1]. Three C-suite executives (CFO, COO, CLO) departed simultaneously within months of the IPO, signaling internal dysfunction [2]. The company burned $218.1M in operating cash, cut 25% of its workforce, and exited three international markets (UK, EU, Australia) — all within six months of going public. Zero profit margin, -$15.52 EPS, and $660.8M in debt against $252.6M cash create financial fragility [4]. The $565M market cap on a deeply unprofitable, strategically confused company with active securities litigation makes GEMI uninvestable for a disciplined framework like IOWN. Competitive positioning behind Coinbase (COIN) in the US and Binance internationally leaves Gemini without a clear moat in any market.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Prediction markets pivot could capture growing consumer demand for event-based trading products if executed successfully [1]</w:t>
      </w:r>
    </w:p>
    <w:p>
      <w:pPr>
        <w:spacing w:before="40" w:after="40"/>
        <w:ind w:left="283"/>
      </w:pPr>
      <w:r>
        <w:rPr>
          <w:rFonts w:ascii="Calibri" w:hAnsi="Calibri"/>
          <w:b/>
          <w:color w:val="4A6B25"/>
          <w:sz w:val="20"/>
        </w:rPr>
        <w:t xml:space="preserve">2. </w:t>
      </w:r>
      <w:r>
        <w:rPr>
          <w:rFonts w:ascii="Calibri" w:hAnsi="Calibri"/>
          <w:b w:val="0"/>
          <w:color w:val="3A4A28"/>
          <w:sz w:val="20"/>
        </w:rPr>
        <w:t>Potential acquisition — CoinDesk reports potential buyers circling Gemini, which could provide a floor for the stock price [1]</w:t>
      </w:r>
    </w:p>
    <w:p>
      <w:pPr>
        <w:spacing w:before="40" w:after="40"/>
        <w:ind w:left="283"/>
      </w:pPr>
      <w:r>
        <w:rPr>
          <w:rFonts w:ascii="Calibri" w:hAnsi="Calibri"/>
          <w:b/>
          <w:color w:val="4A6B25"/>
          <w:sz w:val="20"/>
        </w:rPr>
        <w:t xml:space="preserve">3. </w:t>
      </w:r>
      <w:r>
        <w:rPr>
          <w:rFonts w:ascii="Calibri" w:hAnsi="Calibri"/>
          <w:b w:val="0"/>
          <w:color w:val="3A4A28"/>
          <w:sz w:val="20"/>
        </w:rPr>
        <w:t>Crypto market recovery driving higher trading volumes and fee revenue, leveraging Gemini's regulatory-compliant US infrastructure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class action lawsuit alleging IPO misrepresentation — potential financial liability and ongoing reputational damage from Hagens Berman litigation [1]</w:t>
      </w:r>
    </w:p>
    <w:p>
      <w:pPr>
        <w:spacing w:before="40" w:after="40"/>
        <w:ind w:left="283"/>
      </w:pPr>
      <w:r>
        <w:rPr>
          <w:rFonts w:ascii="Calibri" w:hAnsi="Calibri"/>
          <w:b/>
          <w:color w:val="4A6B25"/>
          <w:sz w:val="20"/>
        </w:rPr>
        <w:t xml:space="preserve">2. </w:t>
      </w:r>
      <w:r>
        <w:rPr>
          <w:rFonts w:ascii="Calibri" w:hAnsi="Calibri"/>
          <w:b w:val="0"/>
          <w:color w:val="3A4A28"/>
          <w:sz w:val="20"/>
        </w:rPr>
        <w:t>Leadership vacuum — simultaneous departure of CFO, COO, and CLO creates execution risk and governance concerns with power consolidating in the Winklevoss founders [2]</w:t>
      </w:r>
    </w:p>
    <w:p>
      <w:pPr>
        <w:spacing w:before="40" w:after="40"/>
        <w:ind w:left="283"/>
      </w:pPr>
      <w:r>
        <w:rPr>
          <w:rFonts w:ascii="Calibri" w:hAnsi="Calibri"/>
          <w:b/>
          <w:color w:val="4A6B25"/>
          <w:sz w:val="20"/>
        </w:rPr>
        <w:t xml:space="preserve">3. </w:t>
      </w:r>
      <w:r>
        <w:rPr>
          <w:rFonts w:ascii="Calibri" w:hAnsi="Calibri"/>
          <w:b w:val="0"/>
          <w:color w:val="3A4A28"/>
          <w:sz w:val="20"/>
        </w:rPr>
        <w:t>Cash burn sustainability — $218.1M annual operating cash consumption with $252.6M cash implies limited runway without additional financing or rapid revenue growth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Gemini's core crypto exchange business faces moderate AI disruption risk. AI-powered trading bots and automated market-making tools are already prevalent in crypto markets, potentially compressing exchange spreads and reducing retail trading fee revenue. However, the exchange's custody infrastructure, regulatory compliance framework, and fiat on/off-ramp capabilities require physical-world financial infrastructure and regulatory licenses that AI cannot replicate [2]. The pivot to prediction markets introduces additional AI risk as AI-powered prediction platforms could compete directly. Gemini's institutional custody business is more defensible than its retail exchange. AI Opportunity (0/1): No evidence of AI-generated revenue or AI-powered client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GlobeNewsWire / Hagens Berman — GEMI securities class action following 75% post-IPO collapse, April 2026</w:t>
      </w:r>
    </w:p>
    <w:p>
      <w:pPr>
        <w:spacing w:before="20" w:after="20"/>
        <w:ind w:left="170"/>
      </w:pPr>
      <w:r>
        <w:rPr>
          <w:rFonts w:ascii="Calibri" w:hAnsi="Calibri"/>
          <w:b/>
          <w:color w:val="4A6B25"/>
          <w:sz w:val="15"/>
        </w:rPr>
        <w:t xml:space="preserve">2. </w:t>
      </w:r>
      <w:r>
        <w:rPr>
          <w:rFonts w:ascii="Calibri" w:hAnsi="Calibri"/>
          <w:b w:val="0"/>
          <w:color w:val="3A4A28"/>
          <w:sz w:val="17"/>
        </w:rPr>
        <w:t>CoinDesk / CFO Dive — Gemini executive departures (CFO, COO, CLO), 25% layoffs, international market exits, prediction markets pivot, February 2026</w:t>
      </w:r>
    </w:p>
    <w:p>
      <w:pPr>
        <w:spacing w:before="20" w:after="20"/>
        <w:ind w:left="170"/>
      </w:pPr>
      <w:r>
        <w:rPr>
          <w:rFonts w:ascii="Calibri" w:hAnsi="Calibri"/>
          <w:b/>
          <w:color w:val="4A6B25"/>
          <w:sz w:val="15"/>
        </w:rPr>
        <w:t xml:space="preserve">3. </w:t>
      </w:r>
      <w:r>
        <w:rPr>
          <w:rFonts w:ascii="Calibri" w:hAnsi="Calibri"/>
          <w:b w:val="0"/>
          <w:color w:val="3A4A28"/>
          <w:sz w:val="17"/>
        </w:rPr>
        <w:t>SEC / TechCrunch / Bloomberg — SEC dismisses Gemini Earn lawsuit, $40M NYDFS settlement, January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GEMI (Gemini Space Station),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