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GFI</w:t>
      </w:r>
      <w:r>
        <w:rPr>
          <w:rFonts w:ascii="Calibri" w:hAnsi="Calibri"/>
          <w:b/>
          <w:color w:val="1A2010"/>
          <w:sz w:val="40"/>
        </w:rPr>
        <w:t xml:space="preserve">  Gold Fields Limited</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South Africa</w:t>
      </w:r>
    </w:p>
    <w:p>
      <w:pPr>
        <w:spacing w:after="80"/>
      </w:pPr>
      <w:r>
        <w:rPr>
          <w:rFonts w:ascii="Calibri" w:hAnsi="Calibri"/>
          <w:b w:val="0"/>
          <w:color w:val="3A4A28"/>
          <w:sz w:val="20"/>
        </w:rPr>
        <w:t>Gold Fields Limited operates as a gold producer with reserves and resources in South Africa, Ghana, Australia, Peru, Canada, and Chile. The company also explores for gold, copper, and silver deposits. Founded in 1887 and headquartered in Sandton, South Africa, Gold Fields produced 2.44 million gold-equivalent ounces in FY2025 across nine operating mines on four continents.</w:t>
      </w:r>
    </w:p>
    <w:p>
      <w:r>
        <w:rPr>
          <w:rFonts w:ascii="Calibri" w:hAnsi="Calibri"/>
          <w:b/>
          <w:color w:val="6E8450"/>
          <w:sz w:val="18"/>
        </w:rPr>
        <w:t>18,000 Employees · https://www.goldfields.com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Gold Fields delivered record FY2025 results with revenue surging 68% to $8.75B and net income of $3.57B, driven by higher gold prices and 2.44Moz production, but this reflects commodity price tailwinds rather than product or business model innovation [1]. The company has not launched new products or made transformative pivots — it remains a conventional gold mining operation optimizing extraction and cost management. AI Deployment (0/2): No evidence of AI-powered products or measurable AI-driven cost savings was found in Gold Fields' public disclosures or earnings commentary. Mining modernization is mentioned as a strategic pillar, but specific AI deployment with quantified results is absent [2]. Market Share (1/2): Gold Fields is a meaningful global gold producer but ranks behind Newmont and Barrick Gold in total production volume. The company is a top-10 gold miner globally with diversified assets across four continents [1]. Pipeline (1/2): 2026 production guidance of 2.4-2.6Moz with $1.9-2.1B capex and AISC of $1,800-2,000/oz provides near-term visibility, though no transformative growth projects with specific revenue targets were identified [1]. R&amp;D Intensity (0/1): Mining companies invest in exploration and modernization rather than traditional R&amp;D. No evidence of above-average technology investment relative to gold mining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Gold Fields articulates 'creating enduring value beyond mining' as its purpose, which is specific and connects the business to broader stakeholder impact [2][3]. The company's 2030 ESG targets (30% emissions reduction, 30% female workforce) demonstrate intentionality, but the mission has not been validated through decades of consistent purpose-driven execution across leadership transitions. Community Impact (1/2): Gold Fields has community engagement programs aligned with IFC Performance Standards and Equator Principles across operations in Ghana, South Africa, Australia, Peru, and Chile [3]. The company targets 30% female workforce by 2030 and has ISO 14001 certification across all operations. However, specific dollar amounts for charitable giving were not found. Employee Retention (0/2): Leadership turnover was specifically noted, with several long-serving executives departing for personal reasons or retirement [2]. While mines' operational performance remained stable, the revolving-door leadership does not indicate mission-driven retention. Insider Buying (0/2): No evidence of meaningful net insider buying was found. Gold Fields' $1.7B shareholder return program includes buybacks and special dividends, but these are corporate-level capital allocation decisions, not personal insider conviction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Fields' financial profile is exceptional, driven by record gold prices and strong operational execution. Revenue of $8.75B (up 68.2% YoY) with profit margin of 40.8% and ROE of 51.9% demonstrate extraordinary profitability [1][5]. D/E of 37.1% is conservative for a capital-intensive miner, with net debt reduced to $1.44B and net debt-to-EBITDA of just 0.26x [4]. Forward P/E of 8.5x represents deep value for a company generating $3B in adjusted free cash flow (up 391% YoY) [1]. Revenue 3-year CAGR of approximately 26.8% (2022-2025: $4.29B to $8.75B) reflects sustained high-growth execution, though heavily gold-price-dependent. AISC guidance of $1,800-2,000/oz for 2026 provides cost discipline visibility [1]. PEG ratio unavailable, excluded from calculation. Liquidity floor easily cleared: 3.6M avg vol x $48.12 = $174M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Gold Fields is a well-managed commodity producer with 137 years of history, but mining companies inherently struggle with infinite game dynamics. The business exists to extract finite resources from the earth — a fundamentally finite activity. Under new CEO Mike Fraser, the 'Gold Fields Way' culture transformation and ESG 2030 targets signal some aspirational thinking, but the company's recent leadership turnover and commodity-price-dependent strategy reflect finite optimization rather than purpose-driven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Fields articulates 'creating enduring value beyond mining' as its purpose, which acknowledges the tension between mining's extractive nature and broader stakeholder value [2]. The 2030 ESG targets (emissions reduction, workforce diversity) add substance. However, this cause is relatively new and untested under CEO Mike Fraser, who joined in 2024. The 137-year company history is one of survival and resource extraction, not purpose-driven transformation. Sinek would note the cause exists but hasn't been validated by costly strategic decisions.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'Gold Fields Way' culture journey launched in 2022 prioritizes safety and respectful workplace as core themes, and mines maintained strong operational performance despite leadership transitions [2][3]. The company's ISO 14001 certification across all operations and adherence to IFC Performance Standards demonstrate organizational capability. However, the noted leadership turnover — several executives departing in recent years — suggests some organizational instability at the top, earning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Fields operates in a sector where Newmont and Barrick Gold serve as clear worthy rivals with larger production bases and more diversified asset portfolios [1]. The company's strategy of pursuing 'accretive growth opportunities' and maintaining capital discipline rather than pursuing aggressive M&amp;A to match Newmont's scale suggests a self-improvement rather than market-share-destruction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Fields remains fundamentally a gold mining company, as it has been for 137 years. While the company has expanded geographically (from South Africa to four continents) and added copper exposure, these represent incremental extensions rather than transformative reinventions [1]. Mining companies are inherently constrained in existential flexibility — they extract finite resources from fixed locations. The 2030 ESG targets and 'beyond mining' language hint at aspirational flexibility, but no transformative pivot has been attempted or demonstrated.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Gold Fields' $1.7B shareholder return program (54% of adjusted free cash flow) while simultaneously investing $1.9-2.1B in capex for 2026 demonstrates balanced capital allocation that prioritizes both near-term returns and long-term mine development [1][4]. The decision to set ambitious ESG 2030 targets (30% emissions reduction, 30% female workforce) in a conservative mining industry shows some willingness to lead on difficult issues. However, no evidence of truly costly or controversial leadership decisions that sacrificed short-term results for long-term capability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 Fields is delivering exceptional financial performance fueled by record gold prices, with FY2025 revenue of $8.75B (up 68% YoY), net income of $3.57B, and adjusted free cash flow of $2.97B (up 391% YoY) [1]. At 8.5x forward P/E with 40.8% profit margins, 51.9% ROE, and a conservative 37.1% D/E ratio, Gold Fields offers deep value among global gold producers. The company's $1.7B shareholder return program (54% of free cash flow) includes a 164% dividend increase and special distributions, rewarding shareholders while maintaining investment in mine development [4]. Production guidance of 2.4-2.6Moz for 2026 with diversified assets across four continents provides operational resilience, and JPMorgan maintains an Overweight rating with an $80 price target (66% upside) [4]. As AI infrastructure buildout drives capital spending and potential inflationary pressures, gold's role as a store of value could sustain elevated prices.</w:t>
      </w:r>
    </w:p>
    <w:p>
      <w:pPr>
        <w:spacing w:after="120"/>
      </w:pPr>
      <w:r>
        <w:rPr>
          <w:rFonts w:ascii="Calibri" w:hAnsi="Calibri"/>
          <w:b w:val="0"/>
          <w:color w:val="3A4A28"/>
          <w:sz w:val="20"/>
        </w:rPr>
        <w:t>The bear case is straightforward: Gold Fields is a commodity producer whose exceptional 2025 results are overwhelmingly driven by gold prices, not operational transformation. Revenue growth of 68% and EPS growth of 186% will almost certainly not repeat — normalization of gold prices from current highs would compress margins dramatically given AISC guidance of $1,800-2,000/oz [1]. The company operates in politically complex jurisdictions including South Africa and Ghana where regulatory, labor, and social license risks are elevated. Leadership turnover — with several executives departing in recent years and a relatively new CEO (Mike Fraser, 2024) — creates execution risk during a period of heavy capital investment [2]. Gold mining is inherently a depleting asset business; reserves must be continuously replaced through expensive exploration and development. The Innovation score of 3/10 reflects the fundamental reality that gold mining is a commodity extraction business with limited differentiation or competitive moat beyond asset quality and cost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gold prices above $2,500/oz driving continued margin expansion and free cash flow generation, with AI-driven capital spending and geopolitical uncertainty supporting safe-haven demand [1]</w:t>
      </w:r>
    </w:p>
    <w:p>
      <w:pPr>
        <w:spacing w:before="40" w:after="40"/>
        <w:ind w:left="283"/>
      </w:pPr>
      <w:r>
        <w:rPr>
          <w:rFonts w:ascii="Calibri" w:hAnsi="Calibri"/>
          <w:b/>
          <w:color w:val="4A6B25"/>
          <w:sz w:val="20"/>
        </w:rPr>
        <w:t xml:space="preserve">2. </w:t>
      </w:r>
      <w:r>
        <w:rPr>
          <w:rFonts w:ascii="Calibri" w:hAnsi="Calibri"/>
          <w:b w:val="0"/>
          <w:color w:val="3A4A28"/>
          <w:sz w:val="20"/>
        </w:rPr>
        <w:t>2026 production ramp to 2.4-2.6Moz with potential for outperformance at Gruyere in H2 2026 following identified action plans to improve mining performance [1]</w:t>
      </w:r>
    </w:p>
    <w:p>
      <w:pPr>
        <w:spacing w:before="40" w:after="40"/>
        <w:ind w:left="283"/>
      </w:pPr>
      <w:r>
        <w:rPr>
          <w:rFonts w:ascii="Calibri" w:hAnsi="Calibri"/>
          <w:b/>
          <w:color w:val="4A6B25"/>
          <w:sz w:val="20"/>
        </w:rPr>
        <w:t xml:space="preserve">3. </w:t>
      </w:r>
      <w:r>
        <w:rPr>
          <w:rFonts w:ascii="Calibri" w:hAnsi="Calibri"/>
          <w:b w:val="0"/>
          <w:color w:val="3A4A28"/>
          <w:sz w:val="20"/>
        </w:rPr>
        <w:t>JPMorgan $80 price target (66% upside from current levels) and consensus Buy rating from 4 analysts reflecting institutional conviction in the gold sector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normalization — FY2025 results were driven by record gold prices and any reversion toward $1,800-2,000/oz would compress margins toward breakeven given AISC guidance of $1,800-2,000/oz [1]</w:t>
      </w:r>
    </w:p>
    <w:p>
      <w:pPr>
        <w:spacing w:before="40" w:after="40"/>
        <w:ind w:left="283"/>
      </w:pPr>
      <w:r>
        <w:rPr>
          <w:rFonts w:ascii="Calibri" w:hAnsi="Calibri"/>
          <w:b/>
          <w:color w:val="4A6B25"/>
          <w:sz w:val="20"/>
        </w:rPr>
        <w:t xml:space="preserve">2. </w:t>
      </w:r>
      <w:r>
        <w:rPr>
          <w:rFonts w:ascii="Calibri" w:hAnsi="Calibri"/>
          <w:b w:val="0"/>
          <w:color w:val="3A4A28"/>
          <w:sz w:val="20"/>
        </w:rPr>
        <w:t>Jurisdictional and political risk — operations in South Africa (labor unrest, power instability), Ghana (regulatory changes), and Peru (community opposition) create operational uncertainty across the portfolio [3]</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 new CEO Mike Fraser (2024) with noted executive turnover, managing $1.9-2.1B capex program while navigating complex multi-country mining operations creates execution vulnerability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displace — extracting gold from underground and open-pit mines requires heavy equipment, geological expertise, regulatory compliance, and massive capital investment that no software can replicate [2]. AI may actually increase gold demand indirectly, as AI data center buildouts require enormous capital investment and electricity, potentially driving inflation and currency debasement that benefits gold as a store of value. Gold Fields' operations across four continents and nine mines involve deeply regulated processes in South Africa, Ghana, Australia, Peru, Canada, and Chile where AI substitution risk is effectively zero. AI Opportunity (0/1): Gold Fields does not generate revenue from AI products or services. While mining modernization may incorporate AI-assisted geological modeling or predictive maintenance, no specific AI revenue contribution was identified in the company's disclosures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 Fields Full Year 2025 Earnings Release — $8.75B revenue, $3.57B net income, 2.44Moz production, February 19, 2026</w:t>
      </w:r>
    </w:p>
    <w:p>
      <w:pPr>
        <w:spacing w:before="20" w:after="20"/>
        <w:ind w:left="170"/>
      </w:pPr>
      <w:r>
        <w:rPr>
          <w:rFonts w:ascii="Calibri" w:hAnsi="Calibri"/>
          <w:b/>
          <w:color w:val="4A6B25"/>
          <w:sz w:val="15"/>
        </w:rPr>
        <w:t xml:space="preserve">2. </w:t>
      </w:r>
      <w:r>
        <w:rPr>
          <w:rFonts w:ascii="Calibri" w:hAnsi="Calibri"/>
          <w:b w:val="0"/>
          <w:color w:val="3A4A28"/>
          <w:sz w:val="17"/>
        </w:rPr>
        <w:t>Gold Fields Corporate Website — Executive committee, Gold Fields Way culture journey, innovation and modernization strategy</w:t>
      </w:r>
    </w:p>
    <w:p>
      <w:pPr>
        <w:spacing w:before="20" w:after="20"/>
        <w:ind w:left="170"/>
      </w:pPr>
      <w:r>
        <w:rPr>
          <w:rFonts w:ascii="Calibri" w:hAnsi="Calibri"/>
          <w:b/>
          <w:color w:val="4A6B25"/>
          <w:sz w:val="15"/>
        </w:rPr>
        <w:t xml:space="preserve">3. </w:t>
      </w:r>
      <w:r>
        <w:rPr>
          <w:rFonts w:ascii="Calibri" w:hAnsi="Calibri"/>
          <w:b w:val="0"/>
          <w:color w:val="3A4A28"/>
          <w:sz w:val="17"/>
        </w:rPr>
        <w:t>Gold Fields 2030 ESG Targets and Sustainability Overview — emissions reduction, workforce diversity, ISO 14001 certification</w:t>
      </w:r>
    </w:p>
    <w:p>
      <w:pPr>
        <w:spacing w:before="20" w:after="20"/>
        <w:ind w:left="170"/>
      </w:pPr>
      <w:r>
        <w:rPr>
          <w:rFonts w:ascii="Calibri" w:hAnsi="Calibri"/>
          <w:b/>
          <w:color w:val="4A6B25"/>
          <w:sz w:val="15"/>
        </w:rPr>
        <w:t xml:space="preserve">4. </w:t>
      </w:r>
      <w:r>
        <w:rPr>
          <w:rFonts w:ascii="Calibri" w:hAnsi="Calibri"/>
          <w:b w:val="0"/>
          <w:color w:val="3A4A28"/>
          <w:sz w:val="17"/>
        </w:rPr>
        <w:t>Mining Weekly, Globe and Mail, TipRanks — Gold Fields shareholder returns, analyst ratings, JPMorgan price target,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GFI (Gold Fields),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