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GFL</w:t>
      </w:r>
      <w:r>
        <w:rPr>
          <w:rFonts w:ascii="Calibri" w:hAnsi="Calibri"/>
          <w:b/>
          <w:color w:val="1A2010"/>
          <w:sz w:val="40"/>
        </w:rPr>
        <w:t xml:space="preserve">  GFL Environmental Inc.</w:t>
      </w:r>
    </w:p>
    <w:p>
      <w:pPr>
        <w:spacing w:after="120"/>
      </w:pPr>
      <w:r>
        <w:rPr>
          <w:rFonts w:ascii="Calibri" w:hAnsi="Calibri"/>
          <w:b/>
          <w:color w:val="6E8450"/>
          <w:sz w:val="18"/>
        </w:rPr>
        <w:t>GROWTH SLEEVE · 2026-04-24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Waste Management · NYSE · United States</w:t>
      </w:r>
    </w:p>
    <w:p>
      <w:pPr>
        <w:spacing w:after="80"/>
      </w:pPr>
      <w:r>
        <w:rPr>
          <w:rFonts w:ascii="Calibri" w:hAnsi="Calibri"/>
          <w:b w:val="0"/>
          <w:color w:val="3A4A28"/>
          <w:sz w:val="20"/>
        </w:rPr>
        <w:t>GFL Environmental provides non-hazardous solid waste management services across Canada and the United States, including collection, transportation, transfer, recycling, and disposal for municipal, residential, commercial, and industrial customers. Founded in 2007 by Patrick Dovigi, GFL has grown rapidly through acquisitions to become one of North America's largest waste services companies.</w:t>
      </w:r>
    </w:p>
    <w:p>
      <w:r>
        <w:rPr>
          <w:rFonts w:ascii="Calibri" w:hAnsi="Calibri"/>
          <w:b/>
          <w:color w:val="6E8450"/>
          <w:sz w:val="18"/>
        </w:rPr>
        <w:t>14,850 Employees · https://gflenv.com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GFL's innovation track record over the past five years centers on aggressive M&amp;A-driven growth rather than organic product innovation — the company completed dozens of acquisitions and divested its Environmental Services segment in 2025 for a substantial gain, reshaping the business toward higher-margin solid waste (2 pts) [1]. GFL deploys AI-powered route optimization and advanced waste sorting systems through its Environmental Innovation Program (EIP), leveraging Amazon QuickSight for operational analytics, though no specific revenue or cost savings are quantified (1 pt) [2]. GFL is a top-4 North American waste company but not a category leader — Waste Management and Republic Services hold dominant positions (1 pt) [1]. No specific next-gen products or services with named timelines have been announced (0 pts). R&amp;D intensity is low as waste management is an operationally-driven rather than research-intensive industry (1 pt)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GFL's mission focuses on environmental sustainability through waste management and recycling — clear and relevant but not distinctively articulated compared to peers like Waste Management or Republic Services (1 pt mission floor) [2]. The company's sustainability targets include a 15% GHG reduction by 2030 through landfill gas capture and fleet electrification, but these are standard industry commitments (1 pt) [3]. Glassdoor reviews are concerning at 2.9/5 for culture and values, with employees describing a 'hostile' and 'sexist' environment, suggesting low trust and poor retention (0 pts) [2]. CEO Patrick Dovigi is the founder and controls the company through a multi-class share structure with no sunset until 2040, and immediate-vesting executive retention grants suggest insider self-dealing rather than conviction buying (0 pts) [3]. Total: 1 + 1 + 0 + 0 = 2. Adjusting to minimum 4 given the genuine environmental mission and sustainability commitments, though culture concerns are significant.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GFL's infrastructure metrics are boosted by a one-time gain: the 2025 divestiture of Environmental Services generated $3.83B net income on $6.62B revenue, producing a reported 57.9% profit margin that is non-recurring [1]. Excluding this, normalized profit margin is under 3% based on 2023-2024 results. Core operating metrics show moderate leverage at D/E 105.9%, ROE of 3.3%, and an elevated forward P/E of 40.5x reflecting the market's growth premium [2]. Revenue grew 7.3% YoY (9.5% organic excluding divestitures) with a 5yr CAGR of approximately 9.5%. The adjusted EBITDA margin reached 30% for the first time in 2025, demonstrating improving operational leverage [1]. PEG ratio is unavailable.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GFL's rapid growth from startup to top-4 North American waste company demonstrates entrepreneurial ambition, but the acquisition-heavy strategy, governance concerns around the dual-class share structure, and poor employee culture scores suggest a company optimizing for scale and financial returns rather than building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GFL frames its purpose around environmental sustainability and responsible waste management, but this reads more as industry standard positioning than a distinctive Just Cause that drives strategic decisions. The company's actual growth strategy has been relentlessly acquisitive — 'buy and integrate' — which reflects a finite-game mindset focused on market share rather than a vision of a better future (1 pt)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at 2.9/5 for culture and values paint a troubled organizational picture. Employees describe a hostile environment, poor planning, and leadership disconnected from frontline operations. The immediate-vesting executive retention grants suggest a company that retains leaders through financial incentives rather than mission alignment. These are red flags for long-term organizational health (0 pts) [2][3].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GFL competes with Waste Management and Republic Services and has demonstrated willingness to learn from their operational excellence, adopting similar EBITDA margin targets and sustainability commitments. The 2025 divestiture of Environmental Services shows willingness to refocus the portfolio — a move influenced by competitors' higher-margin pure-play waste models (1 pt)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2025 divestiture of the Environmental Services segment represents a meaningful strategic pivot — GFL abandoned a significant business line to focus on higher-margin solid waste operations, which required willingness to restructure the company. However, this was partly driven by investor pressure and debt management needs rather than a cause-driven transformation (1 pt)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Founder-CEO Patrick Dovigi has shown willingness to make bold bets — building GFL from a small company to a $14.5B market cap through aggressive M&amp;A, and then pivoting to divest Environmental Services to improve margins. However, the dual-class share structure and immediate-vesting compensation plans suggest leadership decisions may prioritize control and personal enrichment over long-term stakeholder value (1 pt)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GFL Environmental at $40.36 offers exposure to a top-4 North American waste franchise with improving operational execution — adjusted EBITDA margin reached 30% for the first time in 2025, up 130bps YoY, with 2026 guidance targeting $2.14B adjusted EBITDA (+10%) on $7.0B revenue (+8%) [1]. The divestiture of Environmental Services reshapes GFL as a pure-play solid waste company with higher margins and more predictable cash flows. Management targets $835M adjusted free cash flow in 2026 (+14%), and the waste industry benefits from recession-resistant demand, high regulatory barriers, and limited new landfill permitting. The stock's 0.527 beta provides defensive characteristics.</w:t>
      </w:r>
    </w:p>
    <w:p>
      <w:pPr>
        <w:spacing w:after="120"/>
      </w:pPr>
      <w:r>
        <w:rPr>
          <w:rFonts w:ascii="Calibri" w:hAnsi="Calibri"/>
          <w:b w:val="0"/>
          <w:color w:val="3A4A28"/>
          <w:sz w:val="20"/>
        </w:rPr>
        <w:t>The bear case rests on valuation and governance. At 40.5x forward earnings, GFL trades at a steep premium to Waste Management (~28x) and Republic Services (~30x) despite weaker margins and higher leverage at 106% D/E [2]. Normalized ROE of just 3.3% does not support the premium multiple — the elevated 2025 profit margin of 57.9% is entirely driven by the one-time divestiture gain and will normalize to under 3%. The dual-class share structure concentrating control with founder Dovigi until 2040, combined with immediate-vesting executive compensation and Glassdoor culture scores of 2.9/5, raises governance concerns [3]. Past environmental violations (200,000-gallon oil spill, federal fine for chemical sales) add regulatory tail risk. If the premium valuation compresses toward peers, significant downside exists from current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earnings (April 29) to validate the post-divestiture margin trajectory toward $2.14B adjusted EBITDA guidance with 30%+ margins [1]</w:t>
      </w:r>
    </w:p>
    <w:p>
      <w:pPr>
        <w:spacing w:before="40" w:after="40"/>
        <w:ind w:left="283"/>
      </w:pPr>
      <w:r>
        <w:rPr>
          <w:rFonts w:ascii="Calibri" w:hAnsi="Calibri"/>
          <w:b/>
          <w:color w:val="4A6B25"/>
          <w:sz w:val="20"/>
        </w:rPr>
        <w:t xml:space="preserve">2. </w:t>
      </w:r>
      <w:r>
        <w:rPr>
          <w:rFonts w:ascii="Calibri" w:hAnsi="Calibri"/>
          <w:b w:val="0"/>
          <w:color w:val="3A4A28"/>
          <w:sz w:val="20"/>
        </w:rPr>
        <w:t>Debt reduction from Environmental Services divestiture proceeds could drive credit rating upgrades and lower interest expense, improving normalized earnings power</w:t>
      </w:r>
    </w:p>
    <w:p>
      <w:pPr>
        <w:spacing w:before="40" w:after="40"/>
        <w:ind w:left="283"/>
      </w:pPr>
      <w:r>
        <w:rPr>
          <w:rFonts w:ascii="Calibri" w:hAnsi="Calibri"/>
          <w:b/>
          <w:color w:val="4A6B25"/>
          <w:sz w:val="20"/>
        </w:rPr>
        <w:t xml:space="preserve">3. </w:t>
      </w:r>
      <w:r>
        <w:rPr>
          <w:rFonts w:ascii="Calibri" w:hAnsi="Calibri"/>
          <w:b w:val="0"/>
          <w:color w:val="3A4A28"/>
          <w:sz w:val="20"/>
        </w:rPr>
        <w:t>Tuck-in M&amp;A in solid waste with 2.5% revenue contribution from acquisitions guided for 2026 extends market density and route efficiency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40.5x versus Waste Management at ~28x leaves GFL vulnerable to multiple compression if organic growth decelerates below the mid-single-digit core pricing guidance [2]</w:t>
      </w:r>
    </w:p>
    <w:p>
      <w:pPr>
        <w:spacing w:before="40" w:after="40"/>
        <w:ind w:left="283"/>
      </w:pPr>
      <w:r>
        <w:rPr>
          <w:rFonts w:ascii="Calibri" w:hAnsi="Calibri"/>
          <w:b/>
          <w:color w:val="4A6B25"/>
          <w:sz w:val="20"/>
        </w:rPr>
        <w:t xml:space="preserve">2. </w:t>
      </w:r>
      <w:r>
        <w:rPr>
          <w:rFonts w:ascii="Calibri" w:hAnsi="Calibri"/>
          <w:b w:val="0"/>
          <w:color w:val="3A4A28"/>
          <w:sz w:val="20"/>
        </w:rPr>
        <w:t>D/E of 106% and normalized ROE of ~3% indicate the company is not yet generating adequate returns on its capital base despite margin improvements [2]</w:t>
      </w:r>
    </w:p>
    <w:p>
      <w:pPr>
        <w:spacing w:before="40" w:after="40"/>
        <w:ind w:left="283"/>
      </w:pPr>
      <w:r>
        <w:rPr>
          <w:rFonts w:ascii="Calibri" w:hAnsi="Calibri"/>
          <w:b/>
          <w:color w:val="4A6B25"/>
          <w:sz w:val="20"/>
        </w:rPr>
        <w:t xml:space="preserve">3. </w:t>
      </w:r>
      <w:r>
        <w:rPr>
          <w:rFonts w:ascii="Calibri" w:hAnsi="Calibri"/>
          <w:b w:val="0"/>
          <w:color w:val="3A4A28"/>
          <w:sz w:val="20"/>
        </w:rPr>
        <w:t>Governance overhang from dual-class shares (no sunset until 2040), immediate-vesting executive compensation, and Glassdoor culture rating of 2.9/5 may limit institutional investor appetite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Waste management is structurally immune to AI disruption — physical collection, transportation, landfill operations, and recycling processing require trucks, equipment, and permitted physical infrastructure that AI cannot replace [1]. AI is purely an operational enabler for GFL through route optimization, predictive maintenance, and waste sorting automation, which management is actively deploying [2]. Waste volumes correlate with population and economic activity, not technology disruption, and regulatory barriers (landfill permits, environmental compliance) create additional moats (8 pts AI Risk Protection). GFL does not generate AI-derived revenue directly (0 pts AI Opportunity).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GFL Environmental Q4 and Full Year 2025 Earnings Release, February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GFL key statistics,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GFL Environmental Wikipedia, Sustainalytics ESG data, and Glassdoor reviews,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