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GFS</w:t>
      </w:r>
      <w:r>
        <w:rPr>
          <w:rFonts w:ascii="Calibri" w:hAnsi="Calibri"/>
          <w:b/>
          <w:color w:val="1A2010"/>
          <w:sz w:val="40"/>
        </w:rPr>
        <w:t xml:space="preserve">  GLOBALFOUNDRIES Inc.</w:t>
      </w:r>
    </w:p>
    <w:p>
      <w:pPr>
        <w:spacing w:after="120"/>
      </w:pPr>
      <w:r>
        <w:rPr>
          <w:rFonts w:ascii="Calibri" w:hAnsi="Calibri"/>
          <w:b/>
          <w:color w:val="6E8450"/>
          <w:sz w:val="18"/>
        </w:rPr>
        <w:t>GROWTH SLEEVE · 2026-04-02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United States</w:t>
      </w:r>
    </w:p>
    <w:p>
      <w:pPr>
        <w:spacing w:after="80"/>
      </w:pPr>
      <w:r>
        <w:rPr>
          <w:rFonts w:ascii="Calibri" w:hAnsi="Calibri"/>
          <w:b w:val="0"/>
          <w:color w:val="3A4A28"/>
          <w:sz w:val="20"/>
        </w:rPr>
        <w:t>GLOBALFOUNDRIES is the world's third-largest semiconductor contract manufacturer (foundry), specializing in differentiated chips for automotive, IoT, mobile, aerospace, and data center markets. Headquartered in Malta, NY, GF operates four fabs across the U.S., Singapore, and Germany. Owned by Mubadala Investment Company (Abu Dhabi sovereign wealth fund).</w:t>
      </w:r>
    </w:p>
    <w:p>
      <w:r>
        <w:rPr>
          <w:rFonts w:ascii="Calibri" w:hAnsi="Calibri"/>
          <w:b/>
          <w:color w:val="6E8450"/>
          <w:sz w:val="18"/>
        </w:rPr>
        <w:t>14,000 Employees · https://gf.com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GF navigated a strategic pivot away from leading-edge nodes (7nm and below) to focus on differentiated, essential-market semiconductors — a bold decision that stabilized the business but has not yet driven revenue growth, with revenue declining from $8.1B (2022) to $6.8B (2025) [1]. AI Deployment (1/2): GF is deploying AI-enabling technologies — silicon photonics for data center interconnects, integrated voltage regulators for power-efficient AI chips — and acquired Advanced Micro Foundry (AMF) to accelerate silicon photonics leadership, but no customer-facing AI products [2]. Market Share (2/2): GF is the world's third-largest pure-play foundry and a critical supplier to Apple, AMD, and Qualcomm; secured nearly 150 new design wins in Q3 2025 (50%+ growth YoY) and is expanding via a $16B U.S. manufacturing investment [1]. Pipeline (1/2): Growth corridors in silicon photonics (SiPho), FDX, SiGe, and advanced packaging are well-defined with CapEx increasing to 15-20% of revenue in 2026; Investor Day scheduled May 2026 should provide further roadmap visibility [1]. R&amp;D Intensity (1/1): $1.5B in CHIPS Act funding secured for Malta and Vermont facilities; consistent investment in differentiated technology nodes positions GF above semiconductor industry average for R&amp;D intensity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GF's mission focuses on 'essential chips for essential industries' — clear and relevant but not deeply inspiring beyond the functional promise of semiconductor manufacturing [2]. Community Impact (1/2): GF employs 14,000 people across three countries, received the EPA's 2022 Environmental Merit Award for its Vermont facility, and has been named to Newsweek's 'America's Most Responsible Companies' list in 2023 and 2024 [3]. Employee Retention (1/2): Comparably rates the executive team C- (bottom 35% for companies with 10,000+ employees), and employees with 3-6 years tenure express dissatisfaction — suggesting adequate but not exceptional culture [2]. Insider Buying (1/2): The $500M share repurchase authorization demonstrates board conviction, but Mubadala's majority ownership means traditional insider buying analysis is less applicable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GF's balance sheet is conservatively managed with D/E of just 14.2% and $3.05B cash against $1.71B debt, providing a strong net cash position [4]. Forward P/E of 18.7x is reasonable for a semiconductor foundry, and Q4 2025 results showed gross margin improving to 29% (+360 bps YoY) with record adjusted free cash flow of $1.2B [1]. However, revenue has declined from $8.1B (2022) to $6.79B (2025) — a -5.8% three-year CAGR — reflecting the post-pandemic semiconductor demand normalization. ROE of 7.8% and profit margin of 13% are below targets. Liquidity easily cleared: 4.1M avg volume × $44.24 = $181M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GF demonstrates meaningful infinite game characteristics — the deliberate 2018 decision to exit the leading-edge node race and focus on differentiated semiconductors was a courageous strategic choice that sacrificed prestige for long-term viability. The leadership transition from Caulfield to Breen was orderly, and the company's $16B U.S. manufacturing investment reflects long-term commitment. However, Mubadala's majority ownership means ultimate strategic control rests with a sovereign wealth fund.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GF's purpose — providing essential semiconductor manufacturing for industries that depend on differentiated chips (automotive, IoT, aerospace, defense) — is genuine and validated by the global chip shortage that proved how critical foundry capacity is to economic security [1][2]. The CHIPS Act funding and $16B U.S. investment further validate this cause. However, this is more industrial necessity than transformative vision.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GF's leadership transition from Caulfield (6-year tenure) to Breen was orderly and planned, suggesting organizational stability [2]. The company employs 14,000 across three countries. However, Comparably rates the executive team C- (bottom 35%), and mid-tenure employees express dissatisfaction — indicating adequate but imperfect organizational trust.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GF explicitly chose not to compete with TSMC and Samsung on leading-edge nodes, instead focusing on differentiated technology where it could lead — a textbook infinite game competitive decision [2]. Rather than trying to 'beat' TSMC, GF acknowledged TSMC's strength in cutting-edge manufacturing and carved out a distinctive position. Management frames competition as serving different markets rather than winning a fabrication war. (1/1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2018 decision to abandon 7nm and below development was a genuine existential pivot — GF walked away from the leading-edge race that defined foundry success, betting instead on differentiated nodes for essential markets [2]. This was painful (perceived as retreat) but strategic. The AMF acquisition extends this flexibility into silicon photonics. However, this was a single pivot rather than a pattern of reinvention.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Caulfield's decision to exit leading-edge nodes required real courage — Wall Street and the industry viewed it as surrender, but it stabilized the business and created a defensible position [2]. Increasing CapEx to 15-20% of revenue in 2026 while authorizing $500M in buybacks shows willingness to invest through uncertainty. However, the $16B investment is largely government-subsidized via CHIPS Act, reducing the personal risk calculus.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GlobalFoundries occupies a strategic position as the world's third-largest foundry at a time when semiconductor supply chain security is a national priority. Q4 2025 results showed improving execution — gross margin expanded 360 bps YoY to 29%, adjusted free cash flow hit a record $1.2B, and the company beat EPS estimates ($0.55 vs $0.47 expected) [1]. The $16B U.S. manufacturing expansion, backed by CHIPS Act funding and anchor customers Apple and AMD, positions GF for secular growth in essential-market semiconductors. At 18.7x forward P/E with $3.05B cash and a $500M buyback authorization, GF offers reasonable valuation for a company with ~150 new design wins per quarter and expanding silicon photonics capabilities through the AMF acquisition [1][2].</w:t>
      </w:r>
    </w:p>
    <w:p>
      <w:pPr>
        <w:spacing w:after="120"/>
      </w:pPr>
      <w:r>
        <w:rPr>
          <w:rFonts w:ascii="Calibri" w:hAnsi="Calibri"/>
          <w:b w:val="0"/>
          <w:color w:val="3A4A28"/>
          <w:sz w:val="20"/>
        </w:rPr>
        <w:t>The bear case centers on revenue stagnation and competitive pressures. Revenue has declined from $8.1B (2022) to $6.79B (2025) as post-pandemic semiconductor demand normalized, and Q1 2026 guidance of $1.625B implies continued flat performance [1]. ROE of 7.8% and profit margin of 13% are below semiconductor industry leaders, reflecting GF's position as a lower-margin foundry versus TSMC (40%+ margins). Mubadala's majority ownership creates governance uncertainty — the sovereign wealth fund's strategic priorities may not align with minority shareholders. The company competes against TSMC and Samsung's expanding capacity at every node, and the 'essential chip' market lacks the pricing power of leading-edge AI chips. Q1 2026 EPS guidance of $0.30-$0.40 represents a sequential decline from Q4's $0.55, suggesting seasonal headwinds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$16B U.S. manufacturing expansion supported by CHIPS Act funding and anchor customers Apple and AMD, expected to drive capacity growth and design win conversion through 2028 [1]</w:t>
      </w:r>
    </w:p>
    <w:p>
      <w:pPr>
        <w:spacing w:before="40" w:after="40"/>
        <w:ind w:left="283"/>
      </w:pPr>
      <w:r>
        <w:rPr>
          <w:rFonts w:ascii="Calibri" w:hAnsi="Calibri"/>
          <w:b/>
          <w:color w:val="4A6B25"/>
          <w:sz w:val="20"/>
        </w:rPr>
        <w:t xml:space="preserve">2. </w:t>
      </w:r>
      <w:r>
        <w:rPr>
          <w:rFonts w:ascii="Calibri" w:hAnsi="Calibri"/>
          <w:b w:val="0"/>
          <w:color w:val="3A4A28"/>
          <w:sz w:val="20"/>
        </w:rPr>
        <w:t>Silicon photonics growth accelerated by AMF acquisition, positioning GF as a leader in AI data center interconnect technology as demand for optical transceivers surges [2]</w:t>
      </w:r>
    </w:p>
    <w:p>
      <w:pPr>
        <w:spacing w:before="40" w:after="40"/>
        <w:ind w:left="283"/>
      </w:pPr>
      <w:r>
        <w:rPr>
          <w:rFonts w:ascii="Calibri" w:hAnsi="Calibri"/>
          <w:b/>
          <w:color w:val="4A6B25"/>
          <w:sz w:val="20"/>
        </w:rPr>
        <w:t xml:space="preserve">3. </w:t>
      </w:r>
      <w:r>
        <w:rPr>
          <w:rFonts w:ascii="Calibri" w:hAnsi="Calibri"/>
          <w:b w:val="0"/>
          <w:color w:val="3A4A28"/>
          <w:sz w:val="20"/>
        </w:rPr>
        <w:t>150+ new design wins per quarter (50%+ growth YoY) converting to revenue as GF's differentiated SiPho, FDX, and SiGe platforms gain traction in automotive, IoT, and 5G markets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stagnation — revenue declined from $8.1B (2022) to $6.79B (2025) with only 0.6% YoY growth, and Q1 2026 guidance of $1.625B signals continued flat performance [1]</w:t>
      </w:r>
    </w:p>
    <w:p>
      <w:pPr>
        <w:spacing w:before="40" w:after="40"/>
        <w:ind w:left="283"/>
      </w:pPr>
      <w:r>
        <w:rPr>
          <w:rFonts w:ascii="Calibri" w:hAnsi="Calibri"/>
          <w:b/>
          <w:color w:val="4A6B25"/>
          <w:sz w:val="20"/>
        </w:rPr>
        <w:t xml:space="preserve">2. </w:t>
      </w:r>
      <w:r>
        <w:rPr>
          <w:rFonts w:ascii="Calibri" w:hAnsi="Calibri"/>
          <w:b w:val="0"/>
          <w:color w:val="3A4A28"/>
          <w:sz w:val="20"/>
        </w:rPr>
        <w:t>Margin compression risk from TSMC and Samsung capacity expansion into mature nodes, which could pressure GF's differentiated-node pricing power [2]</w:t>
      </w:r>
    </w:p>
    <w:p>
      <w:pPr>
        <w:spacing w:before="40" w:after="40"/>
        <w:ind w:left="283"/>
      </w:pPr>
      <w:r>
        <w:rPr>
          <w:rFonts w:ascii="Calibri" w:hAnsi="Calibri"/>
          <w:b/>
          <w:color w:val="4A6B25"/>
          <w:sz w:val="20"/>
        </w:rPr>
        <w:t xml:space="preserve">3. </w:t>
      </w:r>
      <w:r>
        <w:rPr>
          <w:rFonts w:ascii="Calibri" w:hAnsi="Calibri"/>
          <w:b w:val="0"/>
          <w:color w:val="3A4A28"/>
          <w:sz w:val="20"/>
        </w:rPr>
        <w:t>Mubadala sovereign wealth fund majority ownership creates governance uncertainty for minority shareholders, with strategic priorities potentially diverging from public market expectations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GF IS semiconductor infrastructure — AI cannot displace the physical manufacturing of chips that power AI systems. Every AI model, data center, and edge device requires semiconductors, and GF's differentiated nodes serve the automotive, IoT, and communication chips that AI expansion demands more of, not less [2]. GF's silicon photonics technology is essential for AI data center interconnects, and CEO Breen explicitly identified 'moving information with greater speed, precision and power efficiency' as 'fundamental to AI datacenters' [2]. The AMF acquisition accelerates this positioning. AI Opportunity (0/1): While GF manufactures chips that enable AI infrastructure, the company does not directly generate revenue from AI-specific products; its revenue comes from foundry services across all end markets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GlobalFoundries Q4 2025 Earnings Release — $0.55 EPS, $1.83B revenue, 29% gross margin, record $1.2B adjusted FCF, February 2026</w:t>
      </w:r>
    </w:p>
    <w:p>
      <w:pPr>
        <w:spacing w:before="20" w:after="20"/>
        <w:ind w:left="170"/>
      </w:pPr>
      <w:r>
        <w:rPr>
          <w:rFonts w:ascii="Calibri" w:hAnsi="Calibri"/>
          <w:b/>
          <w:color w:val="4A6B25"/>
          <w:sz w:val="15"/>
        </w:rPr>
        <w:t xml:space="preserve">2. </w:t>
      </w:r>
      <w:r>
        <w:rPr>
          <w:rFonts w:ascii="Calibri" w:hAnsi="Calibri"/>
          <w:b w:val="0"/>
          <w:color w:val="3A4A28"/>
          <w:sz w:val="17"/>
        </w:rPr>
        <w:t>Manufacturing Dive / Columbia Engineering / GF Press Releases — CEO transition, AMF acquisition, silicon photonics strategy, AI positioning, 2025-2026</w:t>
      </w:r>
    </w:p>
    <w:p>
      <w:pPr>
        <w:spacing w:before="20" w:after="20"/>
        <w:ind w:left="170"/>
      </w:pPr>
      <w:r>
        <w:rPr>
          <w:rFonts w:ascii="Calibri" w:hAnsi="Calibri"/>
          <w:b/>
          <w:color w:val="4A6B25"/>
          <w:sz w:val="15"/>
        </w:rPr>
        <w:t xml:space="preserve">3. </w:t>
      </w:r>
      <w:r>
        <w:rPr>
          <w:rFonts w:ascii="Calibri" w:hAnsi="Calibri"/>
          <w:b w:val="0"/>
          <w:color w:val="3A4A28"/>
          <w:sz w:val="17"/>
        </w:rPr>
        <w:t>GlobalFoundries Corporate Responsibility Report 2024, EPA Environmental Merit Award, Newsweek recognition</w:t>
      </w:r>
    </w:p>
    <w:p>
      <w:pPr>
        <w:spacing w:before="20" w:after="20"/>
        <w:ind w:left="170"/>
      </w:pPr>
      <w:r>
        <w:rPr>
          <w:rFonts w:ascii="Calibri" w:hAnsi="Calibri"/>
          <w:b/>
          <w:color w:val="4A6B25"/>
          <w:sz w:val="15"/>
        </w:rPr>
        <w:t xml:space="preserve">4. </w:t>
      </w:r>
      <w:r>
        <w:rPr>
          <w:rFonts w:ascii="Calibri" w:hAnsi="Calibri"/>
          <w:b w:val="0"/>
          <w:color w:val="3A4A28"/>
          <w:sz w:val="17"/>
        </w:rPr>
        <w:t>Yahoo Finance — GFS key statistics and financial data,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