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GGB</w:t>
      </w:r>
      <w:r>
        <w:rPr>
          <w:rFonts w:ascii="Calibri" w:hAnsi="Calibri"/>
          <w:b/>
          <w:color w:val="1A2010"/>
          <w:sz w:val="40"/>
        </w:rPr>
        <w:t xml:space="preserve">  Gerdau S.A.</w:t>
      </w:r>
    </w:p>
    <w:p>
      <w:pPr>
        <w:spacing w:after="120"/>
      </w:pPr>
      <w:r>
        <w:rPr>
          <w:rFonts w:ascii="Calibri" w:hAnsi="Calibri"/>
          <w:b/>
          <w:color w:val="6E8450"/>
          <w:sz w:val="18"/>
        </w:rPr>
        <w:t>DIVIDEND SLEEVE · 2026-03-24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Steel · NYSE · Brazil</w:t>
      </w:r>
    </w:p>
    <w:p>
      <w:pPr>
        <w:spacing w:after="80"/>
      </w:pPr>
      <w:r>
        <w:rPr>
          <w:rFonts w:ascii="Calibri" w:hAnsi="Calibri"/>
          <w:b w:val="0"/>
          <w:color w:val="3A4A28"/>
          <w:sz w:val="20"/>
        </w:rPr>
        <w:t>Gerdau is one of the largest steel producers in the Americas, operating long steel mills in Brazil, North America, and other markets. Full-year 2025 revenue was R$69.86B (+4.2% YoY) with North America contributing 51% of consolidated revenue and 62% of EBITDA. Net income fell 69% to R$1.4B due to R$2B in Brazilian segment impairments. CEO Gustavo Werneck leads a company navigating a structural divergence between strong North American performance and a challenged Brazilian market facing record Chinese steel imports.</w:t>
      </w:r>
    </w:p>
    <w:p>
      <w:r>
        <w:rPr>
          <w:rFonts w:ascii="Calibri" w:hAnsi="Calibri"/>
          <w:b/>
          <w:color w:val="6E8450"/>
          <w:sz w:val="18"/>
        </w:rPr>
        <w:t>29,000 Employees · https://ri.gerdau.com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Gerdau's Miguel Burnier mining platform — at 91% completion as of Q4 2025 — represents a significant capital project that will reduce iron ore input costs starting H1 2026 [1]. The company's Barro Alto Solar Park demonstrates renewable energy integration for operational sustainability [3]. Gerdau produces 70% of its steel from recycled scrap, a structurally low-cost and sustainable manufacturing approach [3]. However, Gerdau has no documented AI deployment programs, its core long steel business model is unchanged from a decade ago, and R&amp;D spending is minimal relative to revenue for a commodity steel producer.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Gerdau's mission centers on 'transforming steel into solutions for everyday life and a better future' — a clear articulation connecting commodity production to real-world impact [2]. CEO Werneck has been candid about Brazil's steel crisis ('biggest player in the Brazilian steel market is Chinese steel — subsidized and unfairly competitive'), demonstrating honest leadership [2]. The company maintains consistent dividends and shareholder distributions of R$2.4B in 2025 despite industry headwinds [1]. However, the 2015 Operation Zealots tax fraud investigation that personally involved then-CEO André Bier Gerdau Johannpeter remains the most significant inspiration impairment in the company's history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Gerdau's net debt/EBITDA of 0.76x is excellent for a capital-intensive steel producer, and the Miguel Burnier mining project is expected to add R$1.1B in annual EBITDA by 2027 [1]. Full-year 2025 Adjusted EBITDA was R$10.1B (-7% YoY) with positive free cash flow of R$394M [1]. North America delivers 62% of EBITDA with strong margins, but Brazil's 87% gross profit decline creates concern about the overall profitability profile. The GGB ADR pays dividends and has a history of payment, qualifying for Dividend sleeve. Revenue growth is modest (+4.2% YoY) but positive. Liquidity floor check: ~$4.30 × ~7M volume = &gt;$1M — passes.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Gerdau's family-controlled governance (Johannpeter family) provides long-horizon ownership that resists short-term financial engineering — the company has survived multiple steel cycles and Brazilian economic crises over 120 years. The Miguel Burnier mining investment and Brazil capex freeze while protecting North American growth demonstrate strategic discipline. However, the 2015 tax fraud investigation against former leadership and the current profit decline from Brazilian steel imports create significant questions about the company's resilience.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Gerdau's cause — 'transforming steel into solutions for a better future' — is sincere in connecting production to infrastructure and societal needs, but lacks the distinctive transformative quality required for a genuine Just Cause. The 120-year family ownership provides consistency of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Gerdau's family-controlled culture and long average employee tenure across North American and Brazilian operations reflect organizational stability. The orderly CEO leadership under Werneck, consistent shareholder returns despite market headwinds, and $2.4B in 2025 dividends/buybacks signal management credibility.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Werneck's explicit identification of Chinese subsidized steel as the 'biggest player' in the Brazilian market demonstrates awareness of the competitive threat and use of rivals to sharpen strategic focus [2]. The North America pivot is partly a response to competitive dynamics in Brazil.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strategic reorientation from Brazil-heavy to North America-dominant (51% revenue from North America in 2025) represents a meaningful geographic existential flexibility. Freezing $400M in Brazil investments while accelerating North American capital allocation demonstrates disciplined adaptation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2015 Operation Zealots investigation represents a historic failure of courageous leadership — executives allegedly bribed tax authorities rather than addressing Brazil's tax environment through legitimate advocacy. The R$2B impairment in 2025 also reflects delayed recognition of a structural problem rather than proactive strategic adjustment.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Gerdau trades at 10.5x forward P/E with a 5.8% dividend yield and 0.76x net debt/EBITDA — one of the cheapest steel companies globally relative to its financial strength [1]. The North America segment now generates 62% of EBITDA with high-quality margins supported by Section 232 steel tariffs and 90-day order backlogs [2]. The Miguel Burnier mining platform coming online in H1 2026 adds R$1.1B in annual EBITDA starting 2027, and the 24% capex reduction to R$4.7B in 2026 frees cash for buybacks and dividends [1].</w:t>
      </w:r>
    </w:p>
    <w:p>
      <w:pPr>
        <w:spacing w:after="120"/>
      </w:pPr>
      <w:r>
        <w:rPr>
          <w:rFonts w:ascii="Calibri" w:hAnsi="Calibri"/>
          <w:b w:val="0"/>
          <w:color w:val="3A4A28"/>
          <w:sz w:val="20"/>
        </w:rPr>
        <w:t>The bear case centers on Brazil structural headwinds: record Chinese steel import penetration (6.4M tonnes, +7.4% YoY) has effectively destroyed Brazil segment profitability (87% gross profit decline in Q4 2025), and anti-dumping duties may not be sufficient to restore domestic steel economics [2]. The R$2B impairment charge signals management expects persistent, not cyclical, weakness in the Brazilian business. The BRL/USD exchange rate creates earnings translation risk for ADR investors, and the legacy tax fraud investigation continues to create ESG and governance concerns. EPS declined 69% YoY — far below IOWN's 10% growth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Miguel Burnier mining platform reaching full capacity in H2 2026: expected R$1.1B in annual EBITDA improvement starting 2027 from lower iron ore input costs — directly addressable profitability improvement [1]</w:t>
      </w:r>
    </w:p>
    <w:p>
      <w:pPr>
        <w:spacing w:before="40" w:after="40"/>
        <w:ind w:left="283"/>
      </w:pPr>
      <w:r>
        <w:rPr>
          <w:rFonts w:ascii="Calibri" w:hAnsi="Calibri"/>
          <w:b/>
          <w:color w:val="4A6B25"/>
          <w:sz w:val="20"/>
        </w:rPr>
        <w:t xml:space="preserve">2. </w:t>
      </w:r>
      <w:r>
        <w:rPr>
          <w:rFonts w:ascii="Calibri" w:hAnsi="Calibri"/>
          <w:b w:val="0"/>
          <w:color w:val="3A4A28"/>
          <w:sz w:val="20"/>
        </w:rPr>
        <w:t>Brazilian anti-dumping duty implementation: Commerce Ministry investigation could impose meaningful import quotas or duties that restore Brazilian steel pricing and partially reverse the Q4 Brazil gross profit collapse [2]</w:t>
      </w:r>
    </w:p>
    <w:p>
      <w:pPr>
        <w:spacing w:before="40" w:after="40"/>
        <w:ind w:left="283"/>
      </w:pPr>
      <w:r>
        <w:rPr>
          <w:rFonts w:ascii="Calibri" w:hAnsi="Calibri"/>
          <w:b/>
          <w:color w:val="4A6B25"/>
          <w:sz w:val="20"/>
        </w:rPr>
        <w:t xml:space="preserve">3. </w:t>
      </w:r>
      <w:r>
        <w:rPr>
          <w:rFonts w:ascii="Calibri" w:hAnsi="Calibri"/>
          <w:b w:val="0"/>
          <w:color w:val="3A4A28"/>
          <w:sz w:val="20"/>
        </w:rPr>
        <w:t>North American steel tariff expansion: Section 232 extensions or new tariffs under the current administration would strengthen Gerdau's North America pricing power and order backlog duration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Chinese steel import surge continuing: if Brazilian domestic market pricing remains depressed by subsidized Chinese imports, the Brazil segment's R$2B impairment could be the first in a series — management has de facto written off the segment's prior asset values [1]</w:t>
      </w:r>
    </w:p>
    <w:p>
      <w:pPr>
        <w:spacing w:before="40" w:after="40"/>
        <w:ind w:left="283"/>
      </w:pPr>
      <w:r>
        <w:rPr>
          <w:rFonts w:ascii="Calibri" w:hAnsi="Calibri"/>
          <w:b/>
          <w:color w:val="4A6B25"/>
          <w:sz w:val="20"/>
        </w:rPr>
        <w:t xml:space="preserve">2. </w:t>
      </w:r>
      <w:r>
        <w:rPr>
          <w:rFonts w:ascii="Calibri" w:hAnsi="Calibri"/>
          <w:b w:val="0"/>
          <w:color w:val="3A4A28"/>
          <w:sz w:val="20"/>
        </w:rPr>
        <w:t>BRL depreciation: Gerdau reports in BRL, and sustained BRL weakness vs. USD compresses ADR dividend payments and reduces the USD-equivalent market cap valuation even if BRL financials improve</w:t>
      </w:r>
    </w:p>
    <w:p>
      <w:pPr>
        <w:spacing w:before="40" w:after="40"/>
        <w:ind w:left="283"/>
      </w:pPr>
      <w:r>
        <w:rPr>
          <w:rFonts w:ascii="Calibri" w:hAnsi="Calibri"/>
          <w:b/>
          <w:color w:val="4A6B25"/>
          <w:sz w:val="20"/>
        </w:rPr>
        <w:t xml:space="preserve">3. </w:t>
      </w:r>
      <w:r>
        <w:rPr>
          <w:rFonts w:ascii="Calibri" w:hAnsi="Calibri"/>
          <w:b w:val="0"/>
          <w:color w:val="3A4A28"/>
          <w:sz w:val="20"/>
        </w:rPr>
        <w:t>North America steel demand slowdown: residential construction weakness from elevated mortgage rates could reduce long steel demand in Gerdau's most profitable segment — the order backlog at 90 days would compress rapidly if end-market demand falls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Steel manufacturing is a capital-intensive physical process fundamentally immune to AI displacement — the demand for structural steel in construction, manufacturing, and infrastructure is driven by physical-world economic activity [1]. AI is a modest enabler for Gerdau through optimized scrap purchasing, rolling mill efficiency, and energy management. The North America segment's data center construction focus (steel for AI facility buildouts) creates a direct, if indirect, AI demand tailwind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Gerdau Q4 2025 Financial Results, February 23, 2026</w:t>
      </w:r>
    </w:p>
    <w:p>
      <w:pPr>
        <w:spacing w:before="20" w:after="20"/>
        <w:ind w:left="170"/>
      </w:pPr>
      <w:r>
        <w:rPr>
          <w:rFonts w:ascii="Calibri" w:hAnsi="Calibri"/>
          <w:b/>
          <w:color w:val="4A6B25"/>
          <w:sz w:val="15"/>
        </w:rPr>
        <w:t xml:space="preserve">2. </w:t>
      </w:r>
      <w:r>
        <w:rPr>
          <w:rFonts w:ascii="Calibri" w:hAnsi="Calibri"/>
          <w:b w:val="0"/>
          <w:color w:val="3A4A28"/>
          <w:sz w:val="17"/>
        </w:rPr>
        <w:t>Bloomberg — Gerdau Bets Big on North America as Brazil Steel Cycle Implodes, 2025</w:t>
      </w:r>
    </w:p>
    <w:p>
      <w:pPr>
        <w:spacing w:before="20" w:after="20"/>
        <w:ind w:left="170"/>
      </w:pPr>
      <w:r>
        <w:rPr>
          <w:rFonts w:ascii="Calibri" w:hAnsi="Calibri"/>
          <w:b/>
          <w:color w:val="4A6B25"/>
          <w:sz w:val="15"/>
        </w:rPr>
        <w:t xml:space="preserve">3. </w:t>
      </w:r>
      <w:r>
        <w:rPr>
          <w:rFonts w:ascii="Calibri" w:hAnsi="Calibri"/>
          <w:b w:val="0"/>
          <w:color w:val="3A4A28"/>
          <w:sz w:val="17"/>
        </w:rPr>
        <w:t>AInvest — Gerdau's North America Strategy Analysis,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