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GGG</w:t>
      </w:r>
      <w:r>
        <w:rPr>
          <w:rFonts w:ascii="Calibri" w:hAnsi="Calibri"/>
          <w:b/>
          <w:color w:val="1A2010"/>
          <w:sz w:val="40"/>
        </w:rPr>
        <w:t xml:space="preserve">  Graco Inc.</w:t>
      </w:r>
    </w:p>
    <w:p>
      <w:pPr>
        <w:spacing w:after="120"/>
      </w:pPr>
      <w:r>
        <w:rPr>
          <w:rFonts w:ascii="Calibri" w:hAnsi="Calibri"/>
          <w:b/>
          <w:color w:val="6E8450"/>
          <w:sz w:val="18"/>
        </w:rPr>
        <w:t>GROWTH SLEEVE · 2026-05-06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Graco Inc. designs, manufactures, and markets systems and equipment used to move, measure, mix, control, dispense, and spray fluid and powder materials worldwide. It operates through Contractor, Industrial, and Expansion Markets segments, serving paint spraying, polyurethane foam, lubrication, semiconductor, oil and gas, and environmental remediation markets. Founded in 1926, headquartered in Minneapolis, Minnesota.</w:t>
      </w:r>
    </w:p>
    <w:p>
      <w:r>
        <w:rPr>
          <w:rFonts w:ascii="Calibri" w:hAnsi="Calibri"/>
          <w:b/>
          <w:color w:val="6E8450"/>
          <w:sz w:val="18"/>
        </w:rPr>
        <w:t>4,400 Employees · https://www.graco.com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Graco has built a century of niche-market dominance in fluid handling through continuous product innovation, with an expanding electric sprayer portfolio and growing presence in EV battery manufacturing precision dispense systems [1][4]. Q1 2026 revenue of $540.1M included 5% contribution from acquisitions, reflecting an active M&amp;A strategy to enter adjacent markets [1]. The Expansion Markets segment targeting semiconductors and environmental remediation demonstrates market-extension discipline, though organic sales declined 6% in Q1 2026 as the core Contractor segment faced macro headwinds [1]. R&amp;D-to-revenue intensity is typical for specialty industrials, but the breadth of applications across paint, lubrication, semiconductor, and EV manufacturing is impressive for a $13B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mixed picture with only 61% recommending Graco as a workplace, a 3.1/5.0 culture rating, and 2.9/5.0 for career opportunities — well below industrial-sector leaders [5]. Employee complaints cite 'toxic' management, limited diversity, and lack of remote work flexibility, though leadership argues the in-office policy maintains team cohesion [5]. CEO Mark Sheahan, a 30-year Graco veteran appointed in 2021, brings deep institutional knowledge but has not yet articulated a compelling cultural vision. The company's 100-year heritage and community involvement in Minneapolis provide some inspirational foundation, but current employee sentiment suggests execution gaps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Graco's balance sheet is a fortress — debt-to-equity of just 1.9% with $712M in cash against only $53M of total debt, generating $517M in free cash flow [2]. Profit margin of 23.0% and ROE of 19.8% confirm high-quality earnings, while the forward P/E of 23.3x is reasonable for an industrial compounder [2]. The weakness is growth: revenue grew just 2.2% YoY with a 1.4% 3-year CAGR, as the industrial cycle has pressured organic demand, and $7M in tariff headwinds compressed Q1 margins by 60bps [1]. The PEG ratio of 2.64x reflects the premium valuation relative to the modest growth trajectory. Dividend growth of 10.0% CAGR over 5 years across 25+ consecutive years demonstrates shareholder commitment, though the 1.5% yield limits income appeal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Graco's 100-year operating history is itself evidence of infinite game thinking — the company has survived and adapted through multiple industrial revolutions. The steady progression into EV batteries, semiconductors, and environmental remediation shows strategic patience. However, the below-average Glassdoor scores (3.1 culture, 2.9 career opportunities) and employee complaints about management toxicity suggest the internal culture may not sustain the infinite game posture that the company's longevity would otherwise imply.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Graco's mission to solve complex fluid handling challenges across industries has endured for a century, and the recent expansion into environmental remediation and EV manufacturing adds societal relevance to an industrial mission [4]. The ESG report highlights zero-controversy ratings, lowest safety incident rates in decades (2.17 TRIR), and increasing electric product offerings that reduce VOC emissions [6]. The cause is durable if not stirring.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3.1 for culture/values and 2.9 for career opportunities are significantly below peers, with specific employee complaints about toxic management, lack of inclusion, and limited diversity [5]. Only 61% of employees recommend working at Graco, suggesting a trust deficit that could impair long-term organizational health. The mandatory in-office policy, while potentially beneficial for collaboration, appears to be perceived as controlling rather than trust-building.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Graco competes globally against Illinois Tool Works, Nordson, and other specialty industrial players, and the company's podcast interviews and investor materials demonstrate awareness that maintaining niche leadership requires continuous innovation to stay ahead of capable competitors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Graco has demonstrated meaningful flexibility over its 100-year history, expanding from paint sprayers into lubrication systems, semiconductor equipment, environmental remediation, and most recently EV battery manufacturing precision dispense [4]. Each expansion leveraged core fluid handling competency while entering structurally growing end markets, showing disciplined adjacency moves rather than reckless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Leadership's decision to maintain an in-office work policy despite industry trends required conviction, and the steady allocation of capital to acquisitions in adjacent markets (5% of Q1 revenue) shows willingness to invest for long-term positioning [1][5]. CEO Sheahan's 30-year tenure provides institutional continuity, though it also raises questions about fresh perspective.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Graco is a high-quality industrial compounder with a fortress balance sheet (1.9% D/E, $712M cash, $517M FCF) and 100 years of niche-market leadership in fluid handling systems [2]. The company's expansion into EV battery manufacturing and semiconductor precision dispense positions it at the intersection of secular growth trends, while 25+ consecutive years of dividend increases at a 10.0% CAGR demonstrate shareholder commitment [2]. Profit margins of 23.0% and ROE of 19.8% confirm operational excellence, and the acquisition-augmented growth strategy (5% Q1 contribution) supplements modest organic growth [1]. Mid-single-digit sales growth guidance including acquisitions, combined with the company's track record of margin expansion, supports a steady compounding thesis for patient investors.</w:t>
      </w:r>
    </w:p>
    <w:p>
      <w:pPr>
        <w:spacing w:after="120"/>
      </w:pPr>
      <w:r>
        <w:rPr>
          <w:rFonts w:ascii="Calibri" w:hAnsi="Calibri"/>
          <w:b w:val="0"/>
          <w:color w:val="3A4A28"/>
          <w:sz w:val="20"/>
        </w:rPr>
        <w:t>The bear case centers on Graco's anemic organic growth — Q1 2026 showed a 6% organic sales decline, with the 3-year revenue CAGR of just 1.4% suggesting structural growth challenges in the core Contractor and Industrial segments [1]. The PEG ratio of 2.64x implies the market is paying a significant premium for a company growing earnings at only ~5% annually, creating valuation risk if the industrial cycle worsens. Tariff headwinds ($7M in Q1) could intensify and further compress margins [1]. The Glassdoor culture scores (3.1/5.0) are a meaningful red flag — in a tight labor market, employee dissatisfaction could impair talent retention and innovation velocity [5]. The forward P/E of 23.3x leaves limited margin of safety for a company with sub-3% organic growth. Graco's quality is undeniable, but the price may already reflect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 battery manufacturing and semiconductor end-market growth providing secular demand tailwinds for Expansion Markets segment</w:t>
      </w:r>
    </w:p>
    <w:p>
      <w:pPr>
        <w:spacing w:before="40" w:after="40"/>
        <w:ind w:left="283"/>
      </w:pPr>
      <w:r>
        <w:rPr>
          <w:rFonts w:ascii="Calibri" w:hAnsi="Calibri"/>
          <w:b/>
          <w:color w:val="4A6B25"/>
          <w:sz w:val="20"/>
        </w:rPr>
        <w:t xml:space="preserve">2. </w:t>
      </w:r>
      <w:r>
        <w:rPr>
          <w:rFonts w:ascii="Calibri" w:hAnsi="Calibri"/>
          <w:b w:val="0"/>
          <w:color w:val="3A4A28"/>
          <w:sz w:val="20"/>
        </w:rPr>
        <w:t>Acquisition strategy contributing 5% of revenue growth with potential for accretive bolt-on deals leveraging the $712M cash position</w:t>
      </w:r>
    </w:p>
    <w:p>
      <w:pPr>
        <w:spacing w:before="40" w:after="40"/>
        <w:ind w:left="283"/>
      </w:pPr>
      <w:r>
        <w:rPr>
          <w:rFonts w:ascii="Calibri" w:hAnsi="Calibri"/>
          <w:b/>
          <w:color w:val="4A6B25"/>
          <w:sz w:val="20"/>
        </w:rPr>
        <w:t xml:space="preserve">3. </w:t>
      </w:r>
      <w:r>
        <w:rPr>
          <w:rFonts w:ascii="Calibri" w:hAnsi="Calibri"/>
          <w:b w:val="0"/>
          <w:color w:val="3A4A28"/>
          <w:sz w:val="20"/>
        </w:rPr>
        <w:t>Industrial cycle recovery could reignite organic growth from the current -6% trough, improving the revenue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decline of 6% in Q1 2026 signals macro headwinds in construction and industrial end markets that could persist</w:t>
      </w:r>
    </w:p>
    <w:p>
      <w:pPr>
        <w:spacing w:before="40" w:after="40"/>
        <w:ind w:left="283"/>
      </w:pPr>
      <w:r>
        <w:rPr>
          <w:rFonts w:ascii="Calibri" w:hAnsi="Calibri"/>
          <w:b/>
          <w:color w:val="4A6B25"/>
          <w:sz w:val="20"/>
        </w:rPr>
        <w:t xml:space="preserve">2. </w:t>
      </w:r>
      <w:r>
        <w:rPr>
          <w:rFonts w:ascii="Calibri" w:hAnsi="Calibri"/>
          <w:b w:val="0"/>
          <w:color w:val="3A4A28"/>
          <w:sz w:val="20"/>
        </w:rPr>
        <w:t>PEG ratio of 2.64x reflects premium valuation with limited margin of safety if earnings growth fails to accelerate</w:t>
      </w:r>
    </w:p>
    <w:p>
      <w:pPr>
        <w:spacing w:before="40" w:after="40"/>
        <w:ind w:left="283"/>
      </w:pPr>
      <w:r>
        <w:rPr>
          <w:rFonts w:ascii="Calibri" w:hAnsi="Calibri"/>
          <w:b/>
          <w:color w:val="4A6B25"/>
          <w:sz w:val="20"/>
        </w:rPr>
        <w:t xml:space="preserve">3. </w:t>
      </w:r>
      <w:r>
        <w:rPr>
          <w:rFonts w:ascii="Calibri" w:hAnsi="Calibri"/>
          <w:b w:val="0"/>
          <w:color w:val="3A4A28"/>
          <w:sz w:val="20"/>
        </w:rPr>
        <w:t>Below-average Glassdoor culture scores (3.1/5.0) and employee complaints about management toxicity could impair talent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Graco's physical fluid handling equipment operates in sectors where AI is an enabler rather than a disruptor — precision dispense, automated lubrication, and spray systems benefit from AI-driven process optimization and predictive maintenance without being replaceable by software [4]. The company has adopted AI and data analytics to enhance customer service, marketing, and operational decision-making, maintaining digital relevance within its traditional manufacturing framework [4]. The Expansion Markets segment's semiconductor and EV battery manufacturing exposure positions Graco as a beneficiary of AI-driven demand for advanced manufacturing precision. The primary risk is that competitors could leverage AI to develop smart, connected fluid handling systems faster, but Graco's deep customer relationships and application engineering expertise provide defensibility.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Graco Inc. Q1 2026 Earnings Call Highlights,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GGG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Graco ESG Report 2023, graco.com</w:t>
      </w:r>
    </w:p>
    <w:p>
      <w:pPr>
        <w:spacing w:before="20" w:after="20"/>
        <w:ind w:left="170"/>
      </w:pPr>
      <w:r>
        <w:rPr>
          <w:rFonts w:ascii="Calibri" w:hAnsi="Calibri"/>
          <w:b/>
          <w:color w:val="4A6B25"/>
          <w:sz w:val="15"/>
        </w:rPr>
        <w:t xml:space="preserve">4. </w:t>
      </w:r>
      <w:r>
        <w:rPr>
          <w:rFonts w:ascii="Calibri" w:hAnsi="Calibri"/>
          <w:b w:val="0"/>
          <w:color w:val="3A4A28"/>
          <w:sz w:val="17"/>
        </w:rPr>
        <w:t>Fernweh Insights Podcast — Mark Sheahan: Graco, A Century of Legacy and Innovation, 2025</w:t>
      </w:r>
    </w:p>
    <w:p>
      <w:pPr>
        <w:spacing w:before="20" w:after="20"/>
        <w:ind w:left="170"/>
      </w:pPr>
      <w:r>
        <w:rPr>
          <w:rFonts w:ascii="Calibri" w:hAnsi="Calibri"/>
          <w:b/>
          <w:color w:val="4A6B25"/>
          <w:sz w:val="15"/>
        </w:rPr>
        <w:t xml:space="preserve">5. </w:t>
      </w:r>
      <w:r>
        <w:rPr>
          <w:rFonts w:ascii="Calibri" w:hAnsi="Calibri"/>
          <w:b w:val="0"/>
          <w:color w:val="3A4A28"/>
          <w:sz w:val="17"/>
        </w:rPr>
        <w:t>Glassdoor — Graco employee reviews,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Graco Latest ESG Report, BusinessWire, December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