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GILD</w:t>
      </w:r>
      <w:r>
        <w:rPr>
          <w:rFonts w:ascii="Calibri" w:hAnsi="Calibri"/>
          <w:b/>
          <w:color w:val="1A2010"/>
          <w:sz w:val="40"/>
        </w:rPr>
        <w:t xml:space="preserve">  Gilead Sciences, Inc.</w:t>
      </w:r>
    </w:p>
    <w:p>
      <w:pPr>
        <w:spacing w:after="120"/>
      </w:pPr>
      <w:r>
        <w:rPr>
          <w:rFonts w:ascii="Calibri" w:hAnsi="Calibri"/>
          <w:b/>
          <w:color w:val="6E8450"/>
          <w:sz w:val="18"/>
        </w:rPr>
        <w:t>DIVIDEND SLEEVE · 2026-03-28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NASDAQ · United States</w:t>
      </w:r>
    </w:p>
    <w:p>
      <w:pPr>
        <w:spacing w:after="80"/>
      </w:pPr>
      <w:r>
        <w:rPr>
          <w:rFonts w:ascii="Calibri" w:hAnsi="Calibri"/>
          <w:b w:val="0"/>
          <w:color w:val="3A4A28"/>
          <w:sz w:val="20"/>
        </w:rPr>
        <w:t>Gilead Sciences is a biopharmaceutical company focused on discovering, developing, and commercializing medicines for life-threatening diseases including HIV, viral hepatitis, cancer, and inflammation. The company's blockbuster HIV franchise (Biktarvy, Descovy, Yeztugo) generates the majority of revenue, with a growing oncology portfolio via Kite Pharma cell therapy and Trodelvy.</w:t>
      </w:r>
    </w:p>
    <w:p>
      <w:r>
        <w:rPr>
          <w:rFonts w:ascii="Calibri" w:hAnsi="Calibri"/>
          <w:b/>
          <w:color w:val="6E8450"/>
          <w:sz w:val="18"/>
        </w:rPr>
        <w:t>17,000 Employees · https://www.gilead.com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Gilead achieved record Q4 2025 revenue of $7.93B (up 5.2% YoY) with product sales ex-Veklury reaching $28.0B for FY2025, driven by Biktarvy (+7% to $14.3B) and the successful mid-2025 launch of Yeztugo (lenacapavir) for HIV PrEP [1]. The CymaBay Therapeutics acquisition and Livdelzi launch for liver disease added a new therapeutic pillar. AI Deployment (1/2): Gilead partnered with Genesis Therapeutics for AI-powered drug discovery ($35M deal) and broke ground on a $32B AI-enabled Technical Development Center, but AI products are not yet shipping to patients or generating measurable savings [2]. Market Share (2/2): Gilead is the undisputed leader in HIV treatment and prevention — Biktarvy is the #1 prescribed HIV regimen globally, and Yeztugo (twice-yearly injection) is projected at $4.5B peak sales [1]. Analysts project 90% U.S. payer coverage by mid-2026. Pipeline (2/2): Specific 2026 launches include anito-cel for multiple myeloma and Trodelvy label expansions in first-line metastatic TNBC (ASCENT-03/04 Phase III data positive, sBLAs submitted) [1]. R&amp;D Intensity (1/1): Gilead invests heavily in R&amp;D relative to pharma peers, with active programs across HIV, oncology, liver disease, and inflammation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Gilead's purpose — 'creating a healthier world' through therapies for life-threatening diseases — is specific, thoughtful, and differentiated by its focus on historically underserved conditions like HIV and viral hepatitis. CEO O'Day has articulated a long-term vision of evaluating investments on a decade-long timeframe [2]. Community Impact (1/2): Gilead has expanded HIV treatment access through generic manufacturing agreements for developing nations and charitable programs, but the $202M kickback settlement in 2025 for paying doctors to prescribe HIV drugs undermines community trust [3]. Employee Retention (0/2): No specific retention or tenure data available for Gilead's 17,000-person workforce. Insider Buying (0/2): No evidence of meaningful net insider buying by CEO O'Day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Gilead's financial profile is strong for a mature biopharma. FY2025 product sales ex-Veklury of $28.0B with FY2026 guidance of $29.6-$30.0B revenue, profit margin of 28.9%, and ROE of 40.7% demonstrate durable cash generation [1][4]. Forward P/E of 14.0x is attractive for a company with blockbuster HIV and oncology franchises. D/E of 112.9% is manageable with strong free cash flow supporting $4B in buybacks and a 2.44% dividend yield. Payout ratio of 46.6% with 10 consecutive years of dividend growth, though 5yr dividend growth CAGR of ~2.9% barely exceeds inflation [4]. Gross margins hold at 80% with manufacturing efficiencies in Ireland and Singapore [1]. Veklury decline ($1.0B in FY2025, $600M expected in FY2026) is a headwind partially offset by Yeztugo ramp. Liquidity floor cleared: 7.1M avg volume × $134.25 = $955M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Gilead plays a largely purpose-driven game focused on life-threatening diseases, but the $202M kickback settlement and historical drug pricing controversies reveal finite-game tactics coexisting with the infinite mission. CEO O'Day's emphasis on decade-long ROI evaluation and the $32B U.S. investment commitment signal long-term thinking, though his tenure since 2019 is too short to fully validate consistency through crisis.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Gilead's mission to create a healthier world through medicines for life-threatening diseases is genuine and distinctive — the company's HIV and HCV work has saved millions of lives globally. CEO O'Day has articulated this cause with specificity, calling on leaders to adopt decade-long investment horizons [2]. However, the $202M kickback settlement and pricing controversies create tension with the stated cause, and O'Day's tenure since 2019 has not yet weathered a true existential test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Gilead won the 2023 Global OPEX Best Strategic Business Transformation Project — the only pharma company shortlisted — suggesting a culture of operational excellence and cross-functional collaboration [2]. Core values of integrity, inclusion, teamwork, and accountability are articulated. However, no specific employee retention or tenure data is available to confirm high-trust outcomes.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Gilead acknowledges and learns from competitors' strengths — partnering with Genesis Therapeutics for AI capabilities it lacks internally, acquiring Kite Pharma to enter cell therapy where competitors like Bristol-Myers had advantages, and expanding access programs in response to competitor Merck's broader distribution. The competitive language is about improving patient outcomes rather than destroying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Gilead successfully pivoted from its HCV franchise (which peaked and declined as the cure worked) into sustained HIV dominance and is now building an oncology portfolio through Kite Pharma's cell therapy and Trodelvy. The CymaBay acquisition added liver disease as a new pillar. These are meaningful strategic evolutions but incremental rather than a single transformative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$32B U.S. investment commitment and Kite Pharma acquisition ($11.9B) for cell therapy represented genuine long-term bets on unproven modalities. O'Day's decision to pursue twice-yearly injectable PrEP (Yeztugo) when daily oral pills were the standard required conviction in patient behavior change [1]. However, the kickback settlement suggests that not all historical decisions prioritized mission over short-term commercial gain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Gilead Sciences is a durable biopharma franchise anchored by the world's leading HIV portfolio — Biktarvy generated $14.3B in FY2025 (+7% YoY), while Yeztugo (twice-yearly injectable PrEP, $4.5B peak sales projected) and Descovy (+20% YoY) are accelerating [1]. FY2026 guidance of $29.6-$30.0B revenue with profit margin of 29%, ROE of 41%, and 80% gross margins underpin a high-quality earnings stream at just 14.0x forward P/E [1][4]. The oncology pipeline — anito-cel for multiple myeloma and Trodelvy label expansions — provides multiple near-term catalysts for 2026 launches. The 2.44% dividend yield with 10 consecutive years of growth, $4B annual buybacks, and manageable 47% payout ratio deliver strong capital returns.</w:t>
      </w:r>
    </w:p>
    <w:p>
      <w:pPr>
        <w:spacing w:after="120"/>
      </w:pPr>
      <w:r>
        <w:rPr>
          <w:rFonts w:ascii="Calibri" w:hAnsi="Calibri"/>
          <w:b w:val="0"/>
          <w:color w:val="3A4A28"/>
          <w:sz w:val="20"/>
        </w:rPr>
        <w:t>The bear case centers on growth deceleration and legal/regulatory overhang. Revenue growth of 4.7% YoY is modest, and FY2026 EPS guidance of $8.45-$8.85 (midpoint $8.65) disappointed consensus expectations of $8.75, triggering post-earnings weakness [1]. Veklury revenue is declining from $1.0B to an expected $600M in FY2026 as COVID treatment demand fades. The $202M kickback settlement and ongoing litigation over delayed safer drug development expose reputational and financial risk [3]. Medicare Part D pricing reform under the IRA could pressure HIV drug pricing. Product concentration in HIV (~50% of revenue from Biktarvy alone) creates single-franchise dependency, and the 5yr dividend growth CAGR of ~2.9% barely exceeds inflation, suggesting limited income growth appeal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Yeztugo (lenacapavir) commercial ramp toward $4.5B peak sales with 90% U.S. payer coverage targeted by mid-2026, representing a paradigm shift in HIV prevention [1]</w:t>
      </w:r>
    </w:p>
    <w:p>
      <w:pPr>
        <w:spacing w:before="40" w:after="40"/>
        <w:ind w:left="283"/>
      </w:pPr>
      <w:r>
        <w:rPr>
          <w:rFonts w:ascii="Calibri" w:hAnsi="Calibri"/>
          <w:b/>
          <w:color w:val="4A6B25"/>
          <w:sz w:val="20"/>
        </w:rPr>
        <w:t xml:space="preserve">2. </w:t>
      </w:r>
      <w:r>
        <w:rPr>
          <w:rFonts w:ascii="Calibri" w:hAnsi="Calibri"/>
          <w:b w:val="0"/>
          <w:color w:val="3A4A28"/>
          <w:sz w:val="20"/>
        </w:rPr>
        <w:t>Two potential oncology launches in 2026 — anito-cel for multiple myeloma and Trodelvy first-line TNBC expansion — diversifying revenue beyond HIV [1]</w:t>
      </w:r>
    </w:p>
    <w:p>
      <w:pPr>
        <w:spacing w:before="40" w:after="40"/>
        <w:ind w:left="283"/>
      </w:pPr>
      <w:r>
        <w:rPr>
          <w:rFonts w:ascii="Calibri" w:hAnsi="Calibri"/>
          <w:b/>
          <w:color w:val="4A6B25"/>
          <w:sz w:val="20"/>
        </w:rPr>
        <w:t xml:space="preserve">3. </w:t>
      </w:r>
      <w:r>
        <w:rPr>
          <w:rFonts w:ascii="Calibri" w:hAnsi="Calibri"/>
          <w:b w:val="0"/>
          <w:color w:val="3A4A28"/>
          <w:sz w:val="20"/>
        </w:rPr>
        <w:t>Dividend raised to $0.82/quarter (3.8% increase) with $4B annual buybacks demonstrating management commitment to capital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Biktarvy concentration risk — single product represents ~50% of revenue, and any competitive or regulatory disruption to the HIV franchise would be material [1]</w:t>
      </w:r>
    </w:p>
    <w:p>
      <w:pPr>
        <w:spacing w:before="40" w:after="40"/>
        <w:ind w:left="283"/>
      </w:pPr>
      <w:r>
        <w:rPr>
          <w:rFonts w:ascii="Calibri" w:hAnsi="Calibri"/>
          <w:b/>
          <w:color w:val="4A6B25"/>
          <w:sz w:val="20"/>
        </w:rPr>
        <w:t xml:space="preserve">2. </w:t>
      </w:r>
      <w:r>
        <w:rPr>
          <w:rFonts w:ascii="Calibri" w:hAnsi="Calibri"/>
          <w:b w:val="0"/>
          <w:color w:val="3A4A28"/>
          <w:sz w:val="20"/>
        </w:rPr>
        <w:t>$202M kickback settlement and ongoing litigation over delayed safer drug development create reputational and financial exposure [3]</w:t>
      </w:r>
    </w:p>
    <w:p>
      <w:pPr>
        <w:spacing w:before="40" w:after="40"/>
        <w:ind w:left="283"/>
      </w:pPr>
      <w:r>
        <w:rPr>
          <w:rFonts w:ascii="Calibri" w:hAnsi="Calibri"/>
          <w:b/>
          <w:color w:val="4A6B25"/>
          <w:sz w:val="20"/>
        </w:rPr>
        <w:t xml:space="preserve">3. </w:t>
      </w:r>
      <w:r>
        <w:rPr>
          <w:rFonts w:ascii="Calibri" w:hAnsi="Calibri"/>
          <w:b w:val="0"/>
          <w:color w:val="3A4A28"/>
          <w:sz w:val="20"/>
        </w:rPr>
        <w:t>Medicare Part D pricing reform under the Inflation Reduction Act could directly pressure pricing of Gilead's HIV and oncology drugs in the largest global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Pharma's core business — clinical trials, FDA approval, manufacturing, physician relationships — is structurally protected from AI displacement. Drug development requires physical-world processes that AI cannot substitute. Regulatory moats (10+ year exclusivity periods, FDA approval barriers) further insulate Gilead's revenue streams. AI enhances drug discovery timelines but does not threaten the business model itself [2]. AI Opportunity (0/1): Gilead has invested in AI via the Genesis Therapeutics partnership and AI-enabled manufacturing hub, but these are R&amp;D-stage investments with no quantifiable AI revenue or cost savings reported to date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Gilead Sciences Q4 2025 and Full-Year 2025 Earnings Release — $7.93B Q4 revenue, $28.0B product sales ex-Veklury, FY2026 guidance, February 10, 2026</w:t>
      </w:r>
    </w:p>
    <w:p>
      <w:pPr>
        <w:spacing w:before="20" w:after="20"/>
        <w:ind w:left="170"/>
      </w:pPr>
      <w:r>
        <w:rPr>
          <w:rFonts w:ascii="Calibri" w:hAnsi="Calibri"/>
          <w:b/>
          <w:color w:val="4A6B25"/>
          <w:sz w:val="15"/>
        </w:rPr>
        <w:t xml:space="preserve">2. </w:t>
      </w:r>
      <w:r>
        <w:rPr>
          <w:rFonts w:ascii="Calibri" w:hAnsi="Calibri"/>
          <w:b w:val="0"/>
          <w:color w:val="3A4A28"/>
          <w:sz w:val="17"/>
        </w:rPr>
        <w:t>Columbia Business School — CEO Daniel O'Day leadership interview; Genesis Therapeutics AI partnership; AI-enabled Technical Development Center, 2024-2026</w:t>
      </w:r>
    </w:p>
    <w:p>
      <w:pPr>
        <w:spacing w:before="20" w:after="20"/>
        <w:ind w:left="170"/>
      </w:pPr>
      <w:r>
        <w:rPr>
          <w:rFonts w:ascii="Calibri" w:hAnsi="Calibri"/>
          <w:b/>
          <w:color w:val="4A6B25"/>
          <w:sz w:val="15"/>
        </w:rPr>
        <w:t xml:space="preserve">3. </w:t>
      </w:r>
      <w:r>
        <w:rPr>
          <w:rFonts w:ascii="Calibri" w:hAnsi="Calibri"/>
          <w:b w:val="0"/>
          <w:color w:val="3A4A28"/>
          <w:sz w:val="17"/>
        </w:rPr>
        <w:t>NY Attorney General / CNBC / Fierce Pharma — $202M kickback settlement, PrEP patent dispute, delayed safer drug litigation,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GILD key statistics, dividend history,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Gilead ESG Performance — MSCI AA rating, Sustainalytics 22.9, DJSI inclusion,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