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w:t>
      </w:r>
      <w:r>
        <w:rPr>
          <w:rFonts w:ascii="Calibri" w:hAnsi="Calibri"/>
          <w:b/>
          <w:color w:val="1A2010"/>
          <w:sz w:val="40"/>
        </w:rPr>
        <w:t xml:space="preserve">  Gildan Activewear Inc.</w:t>
      </w:r>
    </w:p>
    <w:p>
      <w:pPr>
        <w:spacing w:after="120"/>
      </w:pPr>
      <w:r>
        <w:rPr>
          <w:rFonts w:ascii="Calibri" w:hAnsi="Calibri"/>
          <w:b/>
          <w:color w:val="6E8450"/>
          <w:sz w:val="18"/>
        </w:rPr>
        <w:t>GROWTH SLEEVE · 2026-04-29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Canada</w:t>
      </w:r>
    </w:p>
    <w:p>
      <w:pPr>
        <w:spacing w:after="80"/>
      </w:pPr>
      <w:r>
        <w:rPr>
          <w:rFonts w:ascii="Calibri" w:hAnsi="Calibri"/>
          <w:b w:val="0"/>
          <w:color w:val="3A4A28"/>
          <w:sz w:val="20"/>
        </w:rPr>
        <w:t>Gildan Activewear Inc. manufactures and sells various apparel products including activewear, hosiery, underwear, and intimates under brands including Gildan, Hanes, Comfort Colors, American Apparel, Champion, GoldToe, Bali, Playtex, and Maidenford. The company operates a vertically integrated manufacturing platform across Central America, the Caribbean, and Bangladesh.</w:t>
      </w:r>
    </w:p>
    <w:p>
      <w:r>
        <w:rPr>
          <w:rFonts w:ascii="Calibri" w:hAnsi="Calibri"/>
          <w:b/>
          <w:color w:val="6E8450"/>
          <w:sz w:val="18"/>
        </w:rPr>
        <w:t>80,000 Employees · https://gildancorp.com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Gildan executed a transformational acquisition of HanesBrands in December 2025, approximately doubling its revenue base and dramatically expanding its brand portfolio (Hanes, Champion, Bonds, Bali, Playtex) — this represents the most significant strategic move in the company's history [1]. Additionally, the 'Gildan Sustainable Growth Strategy' built three pillars of capacity expansion, innovation, and ESG. AI Deployment (0/2): Gildan is investing in digital tools, predictive analytics, and AI to accelerate decision-making and optimize supply chain planning, but no specific AI products or quantified savings have been reported [2]. Market Share Leadership (2/2): Gildan is the dominant North American printwear manufacturer and, with the HanesBrands acquisition, now holds leading positions in activewear, underwear, hosiery, and intimates — the combined entity controls multiple #1 and #2 brand positions in basic apparel categories [1]. Product Pipeline (1/2): The company has announced FY2026 guidance of $6.0-6.2B in revenue incorporating the full-year HanesBrands contribution, with integration milestones providing near-term visibility [1]. R&amp;D Intensity (0/1): As an apparel manufacturer, Gildan's innovation investment focuses on manufacturing process efficiency and sustainable materials rather than traditional R&amp;D, and spending is not top-quartile for the consumer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Gildan's ESG journey emphasizes 'Making Apparel Better' through sustainable manufacturing, and its Next Generation ESG strategy with ten specific 2030 targets demonstrates genuine intentionality beyond profit — the company connects its manufacturing scale to environmental responsibility [3]. Community &amp; Charitable Impact (2/2): Gildan has published 21 consecutive ESG reports with specific measurable achievements including reducing water intensity by 25.2% per kilogram produced vs 2018 baseline, increasing sustainable cotton sourcing from 35.7% to 77.3% in 2024, and doubling recycled polyester sourcing [3]. The company has been included on the Dow Jones Best-in-Class North America Index for 12 consecutive years [3]. Employee Retention (1/2): With 80,000 employees across Central America, the Caribbean, and Bangladesh, CEO Glenn Chamandy has led the company for nearly 20 years as co-founder, demonstrating deep institutional commitment at the top [2]. Glassdoor management rating of 4.5/5 and overall 3.6/5 suggest above-average employee sentiment. Insider Buying (1/2): Co-founder Glenn Chamandy's return as CEO (after brief departure in 2023-2024) at the board's direction demonstrates strong personal conviction and alignment with long-term value creation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Gildan's infrastructure profile is exceptionally strong for a growth stock with a Forward PEG of 0.49 (target &lt;=1.0, score 1.0), Forward P/E of 10.8 indicating deep value, and ROE of 15.7% at the 15% target [1][4]. Revenue growth of 31.3% YoY reflects the HanesBrands acquisition contribution, and the 5-year revenue CAGR of ~12.4% exceeds the 10% target [4]. Weaknesses include elevated D/E of 132.1% (driven by acquisition financing) and a profit margin of 11.0% below the 20% target, typical for vertically integrated apparel manufacturing [4]. The company initiated FY2026 adjusted EPS guidance of $4.20-$4.40, reflecting confidence in integration synergies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Gildan demonstrates mixed infinite game characteristics anchored by co-founder Glenn Chamandy's 40-year commitment to building a vertically integrated apparel manufacturing platform. The HanesBrands acquisition represents both existential flexibility (transforming the company's scale) and finite-game thinking (doubling revenue through M&amp;A rather than organic innovation). The company's 12 consecutive years on the Dow Jones Sustainability Index signals genuine long-term orientation, but the 2023 CEO ousting and subsequent Chamandy return reveals board-level governance instability.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Gildan's purpose connects apparel manufacturing to environmental sustainability through its 'Making Apparel Better' ESG framework with specific 2030 targets — reducing water intensity, sourcing sustainable cotton (77.3% in 2024), and doubling recycled materials [3]. This cause has been validated by 21 consecutive years of ESG reporting and 12 years on the Dow Jones Sustainability Index, demonstrating consistency through multiple market cycles. However, the purpose remains operational rather than transformative — it describes how Gildan manufactures rather than articulating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Glenn Chamandy's ~20-year tenure and co-founder status create leadership continuity, and Glassdoor management ratings of 4.5/5 suggest above-average employee sentiment [2]. However, the 2023 board decision to oust Chamandy (later reversed) and subsequent executive leadership changes including CFO transition signal governance instability and potential trust erosion at the board level. With 80,000 employees in manufacturing facilities across developing nations, maintaining consistent trust culture across the organization is a structural challenge.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Gildan's competitive narrative focuses on market share dominance and low-cost manufacturing advantages. The HanesBrands acquisition was framed as consolidating market leadership rather than learning from a rival's strengths [1]. No evidence of management acknowledging competitors like Fruit of the Loom, Hanesbrands (pre-acquisition), or private-label manufacturers as worthy rivals whose capabilities inspire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December 2025 acquisition of HanesBrands fundamentally transformed Gildan from a printwear-focused manufacturer into a diversified apparel powerhouse with leading positions across activewear, underwear, intimates, and hosiery [1]. This was a bold, transformative bet that approximately doubled the company's revenue base and brand portfolio. The company's earlier evolution from a Canadian textile company (founded 1946) to a Central American manufacturing platform also demonstrated transformative flexibility over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HanesBrands acquisition required significant financial leverage (D/E rose to 132%) and integration risk for a transformative bet on scale [1]. Co-founder Glenn Chamandy's return as CEO after being ousted by the board in 2023 showed personal conviction and willingness to fight for his vision of the company [2]. However, the use of leverage for acquisitive growth is conventional financial strategy rather than the kind of sacrificial long-term investment Sinek prizes.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Gildan is a vertically integrated apparel manufacturing leader trading at a compelling 10.8x forward earnings with a 0.49 PEG ratio following the transformational HanesBrands acquisition in December 2025, which approximately doubled revenue to a guided $6.0-6.2B for FY2026 [1]. The combined entity holds #1 or #2 positions in activewear, underwear, hosiery, and intimates across North America under iconic brands (Hanes, Champion, Gildan, Comfort Colors). Co-founder Glenn Chamandy's 40-year leadership, 15.7% ROE, and the company's best-in-class ESG credentials (12 years on Dow Jones Sustainability Index, 77.3% sustainable cotton sourcing) create a durable franchise with significant integration synergy upside [3][4].</w:t>
      </w:r>
    </w:p>
    <w:p>
      <w:pPr>
        <w:spacing w:after="120"/>
      </w:pPr>
      <w:r>
        <w:rPr>
          <w:rFonts w:ascii="Calibri" w:hAnsi="Calibri"/>
          <w:b w:val="0"/>
          <w:color w:val="3A4A28"/>
          <w:sz w:val="20"/>
        </w:rPr>
        <w:t>The bear case centers on substantial integration risk from the HanesBrands acquisition, which loaded $132% debt-to-equity onto the balance sheet and depressed EPS growth by -59.2% YoY due to acquisition accounting and one-time costs [4]. The 11% profit margin is thin for a branded apparel company and could face pressure from rising cotton costs, labor inflation in Central America, or tariff uncertainty on imported goods. Gildan's Q1 2026 EPS consensus implies a &gt;42% decline from the year-ago quarter, reflecting the near-term earnings dilution from integration [1]. The 2023 CEO ousting and subsequent board upheaval revealed governance dysfunction that could resurface. Additionally, the formal sale process for HanesBrands Australia suggests the acquisition included non-core assets that will require further strategic cleanup.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HanesBrands integration synergies exceeding initial cost savings estimates, particularly in manufacturing consolidation and supply chain optimization across the combined 80,000-employee platform</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applying Gildan's low-cost vertically integrated manufacturing model to HanesBrands product lines, potentially lifting profit margins from 11% toward the mid-teens</w:t>
      </w:r>
    </w:p>
    <w:p>
      <w:pPr>
        <w:spacing w:before="40" w:after="40"/>
        <w:ind w:left="283"/>
      </w:pPr>
      <w:r>
        <w:rPr>
          <w:rFonts w:ascii="Calibri" w:hAnsi="Calibri"/>
          <w:b/>
          <w:color w:val="4A6B25"/>
          <w:sz w:val="20"/>
        </w:rPr>
        <w:t xml:space="preserve">3. </w:t>
      </w:r>
      <w:r>
        <w:rPr>
          <w:rFonts w:ascii="Calibri" w:hAnsi="Calibri"/>
          <w:b w:val="0"/>
          <w:color w:val="3A4A28"/>
          <w:sz w:val="20"/>
        </w:rPr>
        <w:t>10% dividend increase announced alongside FY2026 guidance demonstrates confidence in cash flow generation and commitment to shareholder returns despite elevated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HanesBrands integration complexity across multiple brand portfolios, manufacturing facilities, and distribution networks could delay synergy realization and depress earnings for 2-3 years</w:t>
      </w:r>
    </w:p>
    <w:p>
      <w:pPr>
        <w:spacing w:before="40" w:after="40"/>
        <w:ind w:left="283"/>
      </w:pPr>
      <w:r>
        <w:rPr>
          <w:rFonts w:ascii="Calibri" w:hAnsi="Calibri"/>
          <w:b/>
          <w:color w:val="4A6B25"/>
          <w:sz w:val="20"/>
        </w:rPr>
        <w:t xml:space="preserve">2. </w:t>
      </w:r>
      <w:r>
        <w:rPr>
          <w:rFonts w:ascii="Calibri" w:hAnsi="Calibri"/>
          <w:b w:val="0"/>
          <w:color w:val="3A4A28"/>
          <w:sz w:val="20"/>
        </w:rPr>
        <w:t>Cotton price volatility and labor cost inflation in Central American and Bangladeshi manufacturing facilities could compress already-thin 11% profit margins</w:t>
      </w:r>
    </w:p>
    <w:p>
      <w:pPr>
        <w:spacing w:before="40" w:after="40"/>
        <w:ind w:left="283"/>
      </w:pPr>
      <w:r>
        <w:rPr>
          <w:rFonts w:ascii="Calibri" w:hAnsi="Calibri"/>
          <w:b/>
          <w:color w:val="4A6B25"/>
          <w:sz w:val="20"/>
        </w:rPr>
        <w:t xml:space="preserve">3. </w:t>
      </w:r>
      <w:r>
        <w:rPr>
          <w:rFonts w:ascii="Calibri" w:hAnsi="Calibri"/>
          <w:b w:val="0"/>
          <w:color w:val="3A4A28"/>
          <w:sz w:val="20"/>
        </w:rPr>
        <w:t>Consumer trade-down to private-label apparel during economic uncertainty could pressure branded product pricing across Gildan, Hanes, and Champion product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Gildan's core business of manufacturing and distributing physical apparel products is fundamentally immune to AI disruption. The value chain involves cotton sourcing, textile manufacturing, sewing, dyeing, distribution, and retail — physical-world operations that AI cannot substitute [1]. The vertically integrated manufacturing platform across Central America and Bangladesh represents billions in physical infrastructure that creates structural barriers. Apparel consumption patterns are driven by basic human needs (clothing, underwear, socks) rather than information services vulnerable to AI automation. No analysts have flagged AI as a disruption risk for basic apparel manufacturing [2]. AI Opportunity (0/1): While Gildan is investing in predictive analytics and AI for supply chain optimization, these represent operational efficiency tools rather than AI-driven revenue streams — no quantifiable AI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Gildan Activewear Q4 2025 Earnings Release and FY2026 Guidance,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Gildan Activewear Leadership Team, CEO Transition, and Glassdoor Reviews, Comparably / GlobeNewswire,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Gildan 2024 ESG Report — Advancements Towards 2030 Targets, gildancorp.com, May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GIL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