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GIS</w:t>
      </w:r>
      <w:r>
        <w:rPr>
          <w:rFonts w:ascii="Calibri" w:hAnsi="Calibri"/>
          <w:b/>
          <w:color w:val="1A2010"/>
          <w:sz w:val="40"/>
        </w:rPr>
        <w:t xml:space="preserve">  General Mills, Inc.</w:t>
      </w:r>
    </w:p>
    <w:p>
      <w:pPr>
        <w:spacing w:after="120"/>
      </w:pPr>
      <w:r>
        <w:rPr>
          <w:rFonts w:ascii="Calibri" w:hAnsi="Calibri"/>
          <w:b/>
          <w:color w:val="6E8450"/>
          <w:sz w:val="18"/>
        </w:rPr>
        <w:t>DIVIDEND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General Mills manufactures and markets branded consumer foods globally, including cereals (Cheerios, Lucky Charms), snacks (Nature Valley, Annie's), meals (Pillsbury, Old El Paso), and pet food (Blue Buffalo) through its North America Retail, International, North America Foodservice, and Pet segments.</w:t>
      </w:r>
    </w:p>
    <w:p>
      <w:r>
        <w:rPr>
          <w:rFonts w:ascii="Calibri" w:hAnsi="Calibri"/>
          <w:b/>
          <w:color w:val="6E8450"/>
          <w:sz w:val="18"/>
        </w:rPr>
        <w:t>33,000 Employees · https://www.generalmills.com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Mills is undergoing a strategic reinvestment cycle, with Q3 FY2026 showing organic net sales down 3% and adjusted EPS down 37% to $0.64 as the company resets pricing and invests in brand quality [1]. The sale of the Brazil business to focus on higher-margin global platforms shows portfolio discipline. However, sales volumes dropped 8% YoY in Q3, and the company has been slow to respond to shifting consumer preferences toward fresh and health-focused foods.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Jeff Harmening's promise of 'meaningful better top and bottom line performance in Q4 and beyond' aims to rally stakeholders after a difficult FY2026 [1]. General Mills' 127-year dividend history demonstrates enduring institutional commitment. However, the current phase of margin compression, volume declines, and strategic reset creates uncertainty that weighs on employee and investor confidence.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Despite the current downturn, GIS maintains solid fundamentals: 23.6% ROE, 12.1% profit margin, and a deeply discounted forward P/E of 10.8x [1]. The 6.77% dividend yield at a 59.4% payout ratio is well-covered by earnings. With 127 consecutive years of dividends paid, including 5 years of growth and a 3.8% 5-year CAGR, GIS offers one of the strongest dividend traditions in the market. The negative beta (-0.095) provides rare portfolio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General Mills' 127-year history and multi-generational brand portfolio embody infinite-game thinking, but the current strategic reset reflects tension between maintaining long-term brand equity and managing short-term volume and margin declines.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Mills' purpose of 'making food the world loves' is simple and enduring, supported by brands like Cheerios (80+ years) and Pillsbury (150+ years) [1]. The company's commitment to regenerative agriculture and sustainable sourcing adds depth. However, the recent emphasis on pricing recovery and cost cuts suggests short-term financial goals are currently dominant.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Mills' 33,000-person workforce operates in a traditional CPG culture with strong operational discipline. The sale of the Brazil business and ongoing strategic reset likely create uncertainty among international teams. Limited public employee sentiment data prevents deeper assessment.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General Mills actively benchmarks against Kellogg's, Kraft Heinz, and private label competitors. Management's acknowledgment that Wendy's had 'neglected its core quality differentiator' and the consumer segmentation study show self-awareness [1]. Competition from private label and health-focused brands provides meaningful strategic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acquisition of Blue Buffalo (pet food) diversified General Mills into a high-growth category, and the recent sale of the Brazil business and U.S. yogurt divestiture show willingness to reshape the portfolio [1]. These moves demonstrate strategic flexibility to focus on higher-margin, higher-growth platforms.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current reinvestment cycle — accepting 16-20% adjusted operating profit decline in FY2026 to rebuild brand equity — represents courage if it drives long-term recovery [1]. However, the decline is partially forced by competitive pressure rather than purely proactive investment, and execution risk on the 'meaningful improvement in Q4' guidance is high.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General Mills at 10.8x forward earnings with a 6.77% dividend yield represents deep value in a defensive consumer staple with 127 years of consecutive dividends [1]. The negative beta of -0.095 offers rare portfolio diversification during market downturns. Management reaffirmed FY2026 guidance with expected Q4 improvement driven by a 200bp retailer inventory tailwind, the 53rd week, and the closure of the pricing gap in key categories. The sale of Brazil and yogurt businesses sharpens focus on higher-margin platforms.</w:t>
      </w:r>
    </w:p>
    <w:p>
      <w:pPr>
        <w:spacing w:after="120"/>
      </w:pPr>
      <w:r>
        <w:rPr>
          <w:rFonts w:ascii="Calibri" w:hAnsi="Calibri"/>
          <w:b w:val="0"/>
          <w:color w:val="3A4A28"/>
          <w:sz w:val="20"/>
        </w:rPr>
        <w:t>The bear case centers on structural volume erosion and category decline. Q3 FY2026 showed 8% volume declines, 37% adjusted EPS decline to $0.64, and gross margin compression of 310 basis points [1]. The reinvestment cycle may not restore organic growth if consumers have permanently shifted toward fresh, health-focused, and private label alternatives. D/E of 149% limits balance sheet flexibility, and the FY2027 outlook faces headwinds from the yogurt divestiture, loss of the 53rd week, and incentive compensation reset. The 6.77% yield at a 59% payout ratio appears sustainable, but further earnings deterioration could pressure dividend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Q4 FY2026 expected to show significant improvement with ~200bp retailer inventory tailwind, 53rd week contribution, and pricing gap closure in Pillsbury and cereal [1]</w:t>
      </w:r>
    </w:p>
    <w:p>
      <w:pPr>
        <w:spacing w:before="40" w:after="40"/>
        <w:ind w:left="283"/>
      </w:pPr>
      <w:r>
        <w:rPr>
          <w:rFonts w:ascii="Calibri" w:hAnsi="Calibri"/>
          <w:b/>
          <w:color w:val="4A6B25"/>
          <w:sz w:val="20"/>
        </w:rPr>
        <w:t xml:space="preserve">2. </w:t>
      </w:r>
      <w:r>
        <w:rPr>
          <w:rFonts w:ascii="Calibri" w:hAnsi="Calibri"/>
          <w:b w:val="0"/>
          <w:color w:val="3A4A28"/>
          <w:sz w:val="20"/>
        </w:rPr>
        <w:t>Sale of Brazil business and yogurt divestiture complete the portfolio reshaping, allowing management to focus on higher-margin, global priority platforms</w:t>
      </w:r>
    </w:p>
    <w:p>
      <w:pPr>
        <w:spacing w:before="40" w:after="40"/>
        <w:ind w:left="283"/>
      </w:pPr>
      <w:r>
        <w:rPr>
          <w:rFonts w:ascii="Calibri" w:hAnsi="Calibri"/>
          <w:b/>
          <w:color w:val="4A6B25"/>
          <w:sz w:val="20"/>
        </w:rPr>
        <w:t xml:space="preserve">3. </w:t>
      </w:r>
      <w:r>
        <w:rPr>
          <w:rFonts w:ascii="Calibri" w:hAnsi="Calibri"/>
          <w:b w:val="0"/>
          <w:color w:val="3A4A28"/>
          <w:sz w:val="20"/>
        </w:rPr>
        <w:t>FY2027 guidance for price/mix growth recovery would validate the reinvestment strategy and potentially trigger a valuation re-rating from 10.8x forward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8% volume decline in Q3 FY2026 may reflect structural consumer shift away from legacy packaged food brands rather than a cyclical reset, threatening long-term revenue trajectory [1]</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of 310bp in Q3 from higher input costs could persist if commodity inflation accelerates, compressing the spread between revenue declines and cost increases</w:t>
      </w:r>
    </w:p>
    <w:p>
      <w:pPr>
        <w:spacing w:before="40" w:after="40"/>
        <w:ind w:left="283"/>
      </w:pPr>
      <w:r>
        <w:rPr>
          <w:rFonts w:ascii="Calibri" w:hAnsi="Calibri"/>
          <w:b/>
          <w:color w:val="4A6B25"/>
          <w:sz w:val="20"/>
        </w:rPr>
        <w:t xml:space="preserve">3. </w:t>
      </w:r>
      <w:r>
        <w:rPr>
          <w:rFonts w:ascii="Calibri" w:hAnsi="Calibri"/>
          <w:b w:val="0"/>
          <w:color w:val="3A4A28"/>
          <w:sz w:val="20"/>
        </w:rPr>
        <w:t>FY2027 faces compounding headwinds: yogurt divestiture revenue loss, 53rd week removal, and incentive compensation normalization could offset underlying operational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General Mills through supply chain optimization, demand forecasting, and consumer insights analytics. The packaged food industry faces limited direct AI disruption risk — consumers still buy physical products from stores. However, AI-powered DTC competitors and personalized nutrition startups could gradually erode market share in premium segments, and AI-driven retailer negotiation tools may pressure trade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General Mills Q3 FY2026 Earnings Release and Call Transcript, March 18,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GIS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General Mills Annual Report and Strategic Updates,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