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GLDG</w:t>
      </w:r>
      <w:r>
        <w:rPr>
          <w:rFonts w:ascii="Calibri" w:hAnsi="Calibri"/>
          <w:b/>
          <w:color w:val="1A2010"/>
          <w:sz w:val="40"/>
        </w:rPr>
        <w:t xml:space="preserve">  GoldMining Inc.</w:t>
      </w:r>
    </w:p>
    <w:p>
      <w:pPr>
        <w:spacing w:after="120"/>
      </w:pPr>
      <w:r>
        <w:rPr>
          <w:rFonts w:ascii="Calibri" w:hAnsi="Calibri"/>
          <w:b/>
          <w:color w:val="6E8450"/>
          <w:sz w:val="18"/>
        </w:rPr>
        <w:t>GROWTH SLEEVE · 2026-04-01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GoldMining Inc. is a mineral exploration company that acquires, explores, and develops gold and gold-copper projects across the Americas. The company holds a diversified portfolio of resource-stage projects in Canada, the United States, Brazil, Colombia, and Peru, including the Whistler gold-copper project in Alaska and La Mina in Colombia.</w:t>
      </w:r>
    </w:p>
    <w:p>
      <w:r>
        <w:rPr>
          <w:rFonts w:ascii="Calibri" w:hAnsi="Calibri"/>
          <w:b/>
          <w:color w:val="6E8450"/>
          <w:sz w:val="18"/>
        </w:rPr>
        <w:t>43 Employees · https://www.goldmining.com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(1/3): GoldMining has executed a deliberate portfolio assembly strategy, acquiring multiple resource-stage gold projects across five countries since 2016, and spun out U.S. GoldMining Inc. (USGO) as a separate publicly traded subsidiary to advance the Whistler project — a modest structural innovation for a junior explorer [1][2]. AI Deployment (0/2): No evidence of AI-powered products, AI-driven exploration technology, or quantified AI cost savings in the company's operations. Market Share (0/2): Pre-revenue exploration company with zero production — GoldMining holds resource-stage assets but has no market share in gold production. Pipeline (1/2): Portfolio includes multiple projects at various stages with the Whistler gold-copper project (USGO) and La Mina (Colombia) as lead assets, but no projects have advanced to feasibility study or production timeline [1]. R&amp;D Intensity (0/1): As an exploration company, R&amp;D manifests as exploration spending, but this is standard for the industry and does not represent differentiated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GoldMining's purpose is implicitly about building a portfolio of gold assets — there is no distinctive mission statement beyond standard corporate language about responsible exploration and value creation for shareholders [2]. Community Impact (1/2): The company's 2024 Sustainability Report highlights 100% local hiring across operating countries, 1,368 hours of health and safety training (5x increase), zero reportable environmental incidents, and 79% water recirculation rate — genuine community engagement for a junior explorer [3]. Employee Retention (0/2): With only 43 employees, no specific retention or tenure data is publicly available. Insider Buying (1/2): Founder and Co-Chairman Amir Adnani holds significant insider ownership (4.5% insiders collectively), but recent insider transaction data shows modest activity — primarily stock option exercises rather than open-market purchases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on severely limited metrics due to pre-revenue status. The sole positive is an essentially debt-free balance sheet (D/E of 0.13% with only $299K total debt against $26.3M cash), scoring perfectly on leverage [4]. However, all profitability and growth metrics score at floor: ROE is -8.9% (net loss of C$13.5M), profit margin is 0% (no revenue), and revenue growth is not calculable for a company with zero operating revenue. Forward P/E is negative (forward EPS -$0.09). The $26.3M cash position provides approximately 18 months of runway at the current $14M annual cash burn rate, creating potential dilution risk through future equity raises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GoldMining operates with a fundamentally finite mindset — it is an asset accumulation vehicle designed to build resource optionality for eventual monetization through production, joint ventures, or sale. There is no evidence of a Just Cause beyond portfolio value creation.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GoldMining exists to acquire and hold gold exploration assets for eventual value realization — this is a financial vehicle, not a purpose-driven enterprise [2]. There is no articulated vision of a better future beyond building shareholder value through resource accumulation. The company's reason for being is indistinguishable from any other junior mining holding company.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43-person team is led by experienced mining professionals — CEO Alastair Still has 25+ years at Newmont, Goldcorp, and Kinross, and the broader leadership team includes veterans from major miners [2]. The small team size and dedicated VP of ESG (Katherine Arblaster, ex-Monitor Deloitte) suggest a cohesive organization, though no specific evidence of employee empowerment or psychological safety exists.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GoldMining acknowledging competitors' strengths or using competitive dynamics for self-improvement. The junior gold exploration space is collaborative (joint ventures) and competitive (land acquisition), but GoldMining's communications focus on its own asset quality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GoldMining has shown moderate strategic evolution — rebranding from Brazil Resources to GoldMining in 2016 to reflect its expanded geographic portfolio, and spinning out U.S. GoldMining Inc. (USGO) as a separate entity to independently advance the Whistler project [1]. These are meaningful structural adaptations, though they represent incremental portfolio management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Amir Adnani has maintained the company's exploration-focused strategy through multiple gold price cycles, resisting pressure to rush into production or sell assets cheaply during downturns. The decision to spin out USGO rather than develop Whistler internally required conviction about the long-term value of an independent vehicle [1]. However, sustaining annual cash burn of $14M with no revenue path requires continuous equity dilution, which tests whether patience is courage or inertia.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GoldMining offers leveraged exposure to gold prices through a diversified portfolio of resource-stage assets across five countries, with the Whistler gold-copper project in Alaska (held through 79.5%-owned subsidiary USGO) as the flagship development asset [1]. At $1.19 per share with $0.78 book value (1.5x P/B), the stock trades at a modest premium to NAV while holding $26.3M cash and effectively zero debt (D/E 0.13%) [4]. The company's 43-person team is led by mining industry veterans from Newmont, Goldcorp, and Kinross, and the 2024 Sustainability Report demonstrates strong ESG governance for a junior explorer (zero environmental incidents, 79% water recirculation, 83% board ethnic diversity) [2][3]. With gold prices elevated, the portfolio's option value increases significantly if any project advances to feasibility.</w:t>
      </w:r>
    </w:p>
    <w:p>
      <w:pPr>
        <w:spacing w:after="120"/>
      </w:pPr>
      <w:r>
        <w:rPr>
          <w:rFonts w:ascii="Calibri" w:hAnsi="Calibri"/>
          <w:b w:val="0"/>
          <w:color w:val="3A4A28"/>
          <w:sz w:val="20"/>
        </w:rPr>
        <w:t>The bear case is straightforward: GoldMining is a pre-revenue company burning $14M annually with $26.3M cash, implying another dilutive equity raise within 18 months [4]. None of the portfolio's projects have advanced to feasibility study, and the company has generated zero operating revenue since inception. The -8.9% ROE and negative forward EPS (-$0.09) reflect a business model entirely dependent on gold price appreciation and eventual asset monetization that may never materialize. Junior gold explorers face a brutal survival rate — most never reach production. The $254M market cap values resource-stage assets with no proven reserves at a premium that assumes successful development the company has yet to demonstrate. Shares are down 47% from their 52-week high of $2.27, reflecting market skepticism about the path from exploration to value realization.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strength above $2,000/oz increases the option value of GoldMining's diversified portfolio of resource-stage assets across five countries, improving project economics for eventual development [1]</w:t>
      </w:r>
    </w:p>
    <w:p>
      <w:pPr>
        <w:spacing w:before="40" w:after="40"/>
        <w:ind w:left="283"/>
      </w:pPr>
      <w:r>
        <w:rPr>
          <w:rFonts w:ascii="Calibri" w:hAnsi="Calibri"/>
          <w:b/>
          <w:color w:val="4A6B25"/>
          <w:sz w:val="20"/>
        </w:rPr>
        <w:t xml:space="preserve">2. </w:t>
      </w:r>
      <w:r>
        <w:rPr>
          <w:rFonts w:ascii="Calibri" w:hAnsi="Calibri"/>
          <w:b w:val="0"/>
          <w:color w:val="3A4A28"/>
          <w:sz w:val="20"/>
        </w:rPr>
        <w:t>Advancement of the Whistler gold-copper project in Alaska through subsidiary USGO toward prefeasibility study could unlock significant NAV re-rating for the consolidated entity [1]</w:t>
      </w:r>
    </w:p>
    <w:p>
      <w:pPr>
        <w:spacing w:before="40" w:after="40"/>
        <w:ind w:left="283"/>
      </w:pPr>
      <w:r>
        <w:rPr>
          <w:rFonts w:ascii="Calibri" w:hAnsi="Calibri"/>
          <w:b/>
          <w:color w:val="4A6B25"/>
          <w:sz w:val="20"/>
        </w:rPr>
        <w:t xml:space="preserve">3. </w:t>
      </w:r>
      <w:r>
        <w:rPr>
          <w:rFonts w:ascii="Calibri" w:hAnsi="Calibri"/>
          <w:b w:val="0"/>
          <w:color w:val="3A4A28"/>
          <w:sz w:val="20"/>
        </w:rPr>
        <w:t>Potential joint venture or strategic partnership on La Mina (Colombia) or Sao Jorge (Brazil) projects could provide non-dilutive funding and validate asset quality without requiring GoldMining to fund development alone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Pre-revenue cash burn of $14M annually against $26.3M cash creates near-certainty of dilutive equity raises within 12-18 months, eroding per-share value for existing shareholders [4]</w:t>
      </w:r>
    </w:p>
    <w:p>
      <w:pPr>
        <w:spacing w:before="40" w:after="40"/>
        <w:ind w:left="283"/>
      </w:pPr>
      <w:r>
        <w:rPr>
          <w:rFonts w:ascii="Calibri" w:hAnsi="Calibri"/>
          <w:b/>
          <w:color w:val="4A6B25"/>
          <w:sz w:val="20"/>
        </w:rPr>
        <w:t xml:space="preserve">2. </w:t>
      </w:r>
      <w:r>
        <w:rPr>
          <w:rFonts w:ascii="Calibri" w:hAnsi="Calibri"/>
          <w:b w:val="0"/>
          <w:color w:val="3A4A28"/>
          <w:sz w:val="20"/>
        </w:rPr>
        <w:t>No projects at feasibility stage — the entire portfolio consists of resource-stage assets that may never advance to production, with junior gold explorers historically having a low probability of successful mine development</w:t>
      </w:r>
    </w:p>
    <w:p>
      <w:pPr>
        <w:spacing w:before="40" w:after="40"/>
        <w:ind w:left="283"/>
      </w:pPr>
      <w:r>
        <w:rPr>
          <w:rFonts w:ascii="Calibri" w:hAnsi="Calibri"/>
          <w:b/>
          <w:color w:val="4A6B25"/>
          <w:sz w:val="20"/>
        </w:rPr>
        <w:t xml:space="preserve">3. </w:t>
      </w:r>
      <w:r>
        <w:rPr>
          <w:rFonts w:ascii="Calibri" w:hAnsi="Calibri"/>
          <w:b w:val="0"/>
          <w:color w:val="3A4A28"/>
          <w:sz w:val="20"/>
        </w:rPr>
        <w:t>Geopolitical and permitting risk across five countries (Brazil, Colombia, Peru, Canada, US) — any single jurisdiction could impose regulatory barriers, environmental restrictions, or political instability that strands significant portfolio assets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Gold exploration and mining is structurally immune to AI disruption — the core business involves geological assessment, physical resource extraction, permitting, and land rights that AI cannot substitute [2]. GoldMining's assets are physical gold deposits in the ground across five countries; no AI tool can replicate, replace, or diminish the value of proven mineral resources. If anything, rising AI infrastructure demand (data centers, electronics) increases industrial demand for metals. Analysts have identified zero AI substitution risk for junior gold explorers. AI Opportunity (0/1): No AI-derived revenue — the company is a pre-revenue explorer with no technology products or AI-powered services to monetize.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GoldMining Inc. Corporate Website — Project Portfolio and Corporate Overview,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GoldMining Inc. Management Team and Company Profile — goldmining.com,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GoldMining Inc. 2024 Sustainability Report — ESG metrics, environmental performance, board diversity</w:t>
      </w:r>
    </w:p>
    <w:p>
      <w:pPr>
        <w:spacing w:before="20" w:after="20"/>
        <w:ind w:left="170"/>
      </w:pPr>
      <w:r>
        <w:rPr>
          <w:rFonts w:ascii="Calibri" w:hAnsi="Calibri"/>
          <w:b/>
          <w:color w:val="4A6B25"/>
          <w:sz w:val="15"/>
        </w:rPr>
        <w:t xml:space="preserve">4. </w:t>
      </w:r>
      <w:r>
        <w:rPr>
          <w:rFonts w:ascii="Calibri" w:hAnsi="Calibri"/>
          <w:b w:val="0"/>
          <w:color w:val="3A4A28"/>
          <w:sz w:val="17"/>
        </w:rPr>
        <w:t>yfinance data for GLDG retrieved April 2026 — financial metrics, insider holdings, price data</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