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GLPI</w:t>
      </w:r>
      <w:r>
        <w:rPr>
          <w:rFonts w:ascii="Calibri" w:hAnsi="Calibri"/>
          <w:b/>
          <w:color w:val="1A2010"/>
          <w:sz w:val="40"/>
        </w:rPr>
        <w:t xml:space="preserve">  Gaming and Leisure Properties,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2026-04-14 · Inspire: -1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Specialty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Gaming and Leisure Properties is the first REIT to specialize in the acquisition, financing, and ownership of gaming-industry real estate, leasing properties to leading regional gaming operators under long-term, triple-net master leases. The portfolio spans 60+ properties across 19 states with tenants including PENN Entertainment, Bally's, Boyd Gaming, Caesars, and tribal operators.</w:t>
      </w:r>
    </w:p>
    <w:p>
      <w:r>
        <w:rPr>
          <w:rFonts w:ascii="Calibri" w:hAnsi="Calibri"/>
          <w:b/>
          <w:color w:val="6E8450"/>
          <w:sz w:val="18"/>
        </w:rPr>
        <w:t>22 Employees · https://www.glpropinc.com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GLPI pioneered the gaming-REIT category in 2013 when it was spun off from Penn Gaming, and has steadily expanded the model with the $700M Lincoln acquisition, the $467M Cordish commitment, and a $2.6B development pipeline driving 2026 AFFO guidance of $4.06–$4.11 per diluted unit (vs. $3.88 in 2025) [1][2]. AI Deployment (0/2): No material AI deployment in the REIT's own operations — the business is real-estate ownership, not technology. Market Share (2/2): GLPI is the category-defining gaming REIT alongside VICI Properties, with a uniquely diversified mix of regional and tribal-leased properties. Pipeline (2/2): $2.6B development pipeline plus the multi-year Cordish and Lincoln commitments give specific revenue visibility through 2027+ [2]. R&amp;D Intensity (0/1): R&amp;D is not a meaningful concept for a triple-net REIT.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GLPI articulates a clear purpose around providing capital and real-estate solutions to the gaming industry while delivering long-term shareholder return through stable, growing distributions [3]. The mission is clear but not transformative — it's interchangeable with VICI's positioning. Community Impact (1/2): GLPI's corporate-responsibility program covers energy efficiency, recycling, and water conservation initiatives at owned properties, with a Sustainalytics low controversy rating [4]. Programs are present but not standout. Employee Retention (1/2): Management team average tenure of 11.5 years and board tenure of 8.6 years indicate stable leadership, including Chairman/CEO Peter Carlino's 12+ years in the role and prior 19-year run leading PENN [5]. Insider Buying (1/2): Carlino retains a meaningful equity position from the PENN spin, but no material recent net buying has been reported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GLPI's financial profile is solid for a triple-net gaming REIT. Liquidity easily clears the floor: 2.4M avg vol x $46.85 = $113M dollar liquidity. Profit margin of 51.7% and ROE of 17.6% reflect the high-margin lease economics. Forward P/E of 13.9 is attractive for a stable cash-flow REIT with $1.207–$1.222B 2026 AFFO guidance [1][2]. Revenue growth of 4.5% YoY and ~7% 5-year CAGR is steady but modest. D/E of 149.9% is high in absolute terms but normal for an investment-grade REIT (Moody's investment-grade rated) and well-supported by long-duration triple-net leases. Dividend track record is strong: 12 consecutive years of payments since the 2013 spin, ~10 consecutive years of growth, and a current ~6% yield. AFFO payout of ~80% provides reasonable coverage with room to grow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GLPI is a stable, well-run specialty REIT with long-tenured leadership and consistent capital allocation, but the business model is fundamentally about distributing cash to shareholders rather than pursuing a Just Cause that transcends the financial structure. Sinek would call this a competently played finite game with infinite-game elements in leadership stability and patient capital deployment.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GLPI's purpose is providing real-estate capital to the gaming industry and returning consistent yields to shareholders — distinctive for inventing the gaming-REIT category but ultimately a financial structure rather than a transformative cause (1 pt)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Long management tenure (CEO 12+ years, leadership team avg 11.5 years) and recent internal promotions to fill executive slots indicate organizational stability and trust (2 pts) [5]. The 22-employee corporate structure is small but cohesive.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GLPI competes principally with VICI Properties, but management commentary tends to focus on its own portfolio quality rather than learning publicly from VICI's strengths. Limited evidence of an explicit worthy-rival mindset (0 pt).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expanded from pure PENN-leaseback origins into a diversified roster of regional, Cordish, Bally's, Boyd, and tribal tenants — incremental but real strategic evolution (1 pt) [1][2]. No transformative pivot away from the core triple-net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Carlino has consistently chosen disciplined underwriting over chasing every gaming deal, walking away from competitive auctions when pricing didn't fit — one example of long-term discipline over short-term growth (1 pt)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GLPI is the original gaming REIT and remains a high-quality, recession-resistant income vehicle with multiple growth levers. 2026 AFFO guidance of $4.06–$4.11 per unit (up ~5% from 2025's $3.88) is supported by a $2.6B development pipeline, the closed $700M Lincoln acquisition, and a $467M Cordish commitment, plus continuing tribal-relationship expansion [1][2]. Triple-net master leases with 15+ year terms and CPI-linked or fixed escalators give GLPI predictable, contractually senior cash flow that is structurally protected from tenant operating volatility. The current ~6% dividend yield is well-covered by ~80% AFFO payout, and 12 consecutive years of dividend payments since the 2013 spin (with growth in ~10 of those years) make this a credible Dividend-sleeve income holding. Forward P/E of 13.9x and AFFO multiple in the low double-digits are reasonable for a low-volatility specialty REIT with investment-grade credit.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tenant concentration and rate sensitivity. PENN Entertainment remains a meaningful share of rent, and any tenant credit deterioration would pressure cash flow even with master-lease seniority. The Inspire Impact Score of -1 reflects gambling's mixed faith alignment and may exclude GLPI from values-based mandates. The Sinek Just Cause score is modest — the business is fundamentally a financial structure rather than a transformative purpose, and growth depends on continued M&amp;A in a market where VICI Properties is a larger, often-better-capitalized competitor. Higher-for-longer rates would compress refinancing economics on the $7B+ debt stack and pressure the spread on incremental acquisitions. Finally, secular shifts toward online sports betting and iGaming could, over a 10–20 year horizon, weigh on land-based casino visitation and affect tenant lease coverage at renewal.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AFFO guidance of $4.06–$4.11 per unit (up ~5%) supported by Lincoln, Cordish, and a $2.6B development pipeline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tribal-gaming relationship expansion as a differentiated growth channel vs. VICI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Stable ~6% dividend yield with 12-year payment streak and ~80% AFFO payout providing room for further growth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Tenant concentration with PENN Entertainment — any credit deterioration would pressure cash flow despite master-lease seniority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Rate-sensitive REIT with $7B+ debt stack; higher-for-longer rates would compress refinancing spreads and acquisition economics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Faith alignment headwind — gambling exposure (Inspire score -1) may limit investor base and creates long-term iGaming-substitution risk for land-based casino real estate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GLPI owns physical casino real estate leased on long-term triple-net contracts to regulated gaming operators — AI structurally cannot replace gaming venues, gaming licenses, or the physical-real-estate ownership model. Rent obligations are contractual and senior to tenant operating performance, so even if AI eventually pressured online vs. land-based gaming mix, GLPI's lease income would remain protected for the duration of master lease terms (most 15+ years with renewal options). Analysts have not flagged AI as a disruption risk for gaming REITs [4][5]. AI Opportunity (0/1): GLPI generates no AI-related revenue; the business model has no AI monetization angle.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Gambling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GLPI Q4 2025 earnings release — $407M Q4 revenue, $1.595B FY2025 revenue, $1.12B AFFO, February 19,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GLPI 2026 guidance — AFFO $1.207–1.222B ($4.06–$4.11/unit), Lincoln $700M, Cordish $467M, $2.6B development pipeline,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GLPI corporate-responsibility and About Us pages, glpropinc.com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Sustainalytics ESG Risk Rating for GLPI — ESG Risk score 16, Low controversy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Simply Wall St — GLPI leadership tenure analysis (Carlino 12+ years CEO, mgmt avg 11.5 years),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yfinance data for GLPI, retrieved April 14,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