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GMAB</w:t>
      </w:r>
      <w:r>
        <w:rPr>
          <w:rFonts w:ascii="Calibri" w:hAnsi="Calibri"/>
          <w:b/>
          <w:color w:val="1A2010"/>
          <w:sz w:val="40"/>
        </w:rPr>
        <w:t xml:space="preserve">  Genmab A/S</w:t>
      </w:r>
    </w:p>
    <w:p>
      <w:pPr>
        <w:spacing w:after="120"/>
      </w:pPr>
      <w:r>
        <w:rPr>
          <w:rFonts w:ascii="Calibri" w:hAnsi="Calibri"/>
          <w:b/>
          <w:color w:val="6E8450"/>
          <w:sz w:val="18"/>
        </w:rPr>
        <w:t>GROWTH SLEEVE · 2026-04-22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Denmark</w:t>
      </w:r>
    </w:p>
    <w:p>
      <w:pPr>
        <w:spacing w:after="80"/>
      </w:pPr>
      <w:r>
        <w:rPr>
          <w:rFonts w:ascii="Calibri" w:hAnsi="Calibri"/>
          <w:b w:val="0"/>
          <w:color w:val="3A4A28"/>
          <w:sz w:val="20"/>
        </w:rPr>
        <w:t>Genmab A/S is a Danish biotechnology company specializing in antibody-based therapeutics for cancer and other diseases. The company has eight approved antibody medicines on the market, including DARZALEX (multiple myeloma, via J&amp;J), Kesimpta (multiple sclerosis, via Novartis), EPKINLY/TEPKINLY (lymphoma), and Tivdak (cervical cancer). Genmab's proprietary DuoBody bispecific technology platform and extensive partnership network with J&amp;J, AbbVie, BioNTech, and Novo Nordisk drive its royalty-heavy revenue model.</w:t>
      </w:r>
    </w:p>
    <w:p>
      <w:r>
        <w:rPr>
          <w:rFonts w:ascii="Calibri" w:hAnsi="Calibri"/>
          <w:b/>
          <w:color w:val="6E8450"/>
          <w:sz w:val="18"/>
        </w:rPr>
        <w:t>2,973 Employees · https://www.genmab.com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Genmab has successfully launched multiple transformative antibody medicines over the past 5 years — DARZALEX grew to $14.3B in 2025 net sales (via J&amp;J), EPKINLY achieved $468M in proprietary sales (+67% YoY), and the company expanded from a pure royalty-dependent model to a hybrid with proprietary commercial products [1]. Eight approved antibody medicines on market is exceptional for a ~3,000 employee biotech. AI Deployment (1/2): Genmab's Discovery team is actively using AI for target identification and antibody candidate design, embedding 'in silico' approaches to streamline drug discovery, though no specific AI-driven revenue or cost savings have been quantified [2]. Market Share (2/2): DARZALEX is the dominant treatment in multiple myeloma with $14.3B in 2025 sales, and Genmab's DuoBody bispecific technology platform is a category-defining innovation powering four approved bispecific medicines — the company has established itself as the leading antibody engineering platform globally [1]. Pipeline (2/2): Deep late-stage pipeline including epcoritamab expansions into first-line DLBCL and FL, tisotumab vedotin in solid tumors, acasunlimab in NSCLC, and rinatabart sesutecan in ovarian cancer, with specific timelines and 2026 revenue guidance of $4.1-4.4B reflecting pipeline confidence [1]. R&amp;D Intensity (0/1): R&amp;D spending is significant but as a percentage of revenue is roughly in line with biotech peers rather than above average, given the company's high royalty revenue base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Genmab's purpose — to transform the lives of patients through innovative antibody medicine — is specific, thoughtful, and demonstrably lived out through 25 years of consistent focus on antibody innovation under CEO Jan van de Winkel's scientific leadership since 2010 [2]. The mission connects antibody engineering directly to patient outcomes and differentiates from generic biotech mission statements. Community Impact (1/2): Genmab publishes annual Corporate Responsibility Reports and has patient access programs, but charitable giving specifics and dollar amounts are not prominently detailed; the company's primary community impact is through its medicines reaching cancer patients [3]. Employee Retention (2/2): CEO Jan van de Winkel has led Genmab for 16 years (appointed 2010), creating an atmosphere of trust with employees from 75+ nationalities; the company explicitly cultivates 'non-conventional approaches' and empowerment at all levels, suggesting strong retention driven by mission alignment [2]. Insider Buying (1/2): Van de Winkel maintains significant equity exposure as co-founder and long-serving CEO; the company returned capital through a $500M share buyback in 2025, though specific net insider buying data is limited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Genmab's financial profile is exceptionally strong across nearly all metrics. D/E of 92.8% scores 0.90, slightly above the 70% target but well below the floor [4]. ROE of 17.5% exceeds the 15% target. Revenue growth is outstanding: 19.2% YoY ($3.72B vs $3.12B in 2024) and approximately 19.9% 5yr CAGR, both well above the 10% target, driven by DARZALEX royalty growth and proprietary medicine ramp [1]. Forward P/E of 15.3x is well below the 20x target. Profit margin of 25.9% exceeds the 20% target, reflecting the high-margin royalty-heavy business model. PEG ratio of 1.75 scores 0.625 — above the 1.0x target but below the 3.0x floor, suggesting moderate growth-adjusted valuation [4]. 2026 guidance of $4.1-4.4B revenue provides continued growth visibility [1]. Liquidity floor cleared: 1.66M avg vol × $27.06 = $44.9M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Genmab demonstrates strong infinite game characteristics, anchored by co-founder CEO Jan van de Winkel's 16-year tenure and the company's 25-year consistent focus on antibody innovation. The transition from pure royalty model to hybrid commercial company shows strategic evolution, though the company has not yet faced the kind of existential crisis that fully validates infinite game commitment.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Genmab's purpose — transforming patient lives through innovative antibody medicine — is genuine and has been consistently pursued for 25 years under founder leadership [2]. The company's strategic decisions trace clearly back to this cause: every partnership (J&amp;J, AbbVie, Novo Nordisk), every platform (DuoBody, HexaBody), and every product serves antibody innovation for patients. However, the cause has not been tested through a genuine existential crisis or multi-decade leadership transition that would elevate it to the highest tier.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van de Winkel has explicitly cultivated an atmosphere of trust with employees from 75+ nationalities, encouraging 'non-conventional approaches' at all levels [2]. The relatively small workforce (~3,000) enables closer organizational cohesion than large pharma peers. However, specific employee retention data, voluntary turnover rates, or Glassdoor-equivalent sentiment data for Genmab is limited.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Genmab's extensive partnership model — collaborating with J&amp;J, AbbVie, BioNTech, Novo Nordisk, and others — demonstrates an organization that learns from and cooperates with industry leaders rather than competing to destroy them [1]. The company explicitly licenses its technology platforms to partners, acknowledging that others' commercial capabilities complement its own innovation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Genmab has evolved meaningfully from a pure royalty-dependent company into a hybrid model with proprietary commercial products (EPKINLY $468M, Tivdak $164M), demonstrating willingness to build commercial capabilities it previously outsourced entirely [1]. This is meaningful but incremental adaptation — the company has not fundamentally abandoned a core business or made a transformative bet outside its antibody expertise.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Genmab committed to investing heavily in late-stage pipeline programs despite near-term operating profit compression ($0.9-1.4B 2026 guidance vs $1.3B in 2025), prioritizing long-term pipeline value over short-term earnings [1]. The $500M share buyback in 2025 during a stock price decline showed capital allocation confidence. However, the partnership-heavy model somewhat reduces the need for courageous standalone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Genmab is a premier antibody engineering platform company with eight approved medicines generating $3.72B in 2025 revenue (up 19% YoY), anchored by DARZALEX royalties (~$2.5B from $14.3B J&amp;J net sales) and rapidly scaling proprietary products EPKINLY ($468M, +67%) and Tivdak ($164M, +26%) [1]. The 2026 guidance of $4.1-4.4B revenue (10-18% growth) provides visibility, while the deep late-stage pipeline (epcoritamab expansions, tisotumab vedotin, acasunlimab) offers multiple value inflection points. At 15.3x forward P/E with 25.9% profit margins, 93.6% gross margins, and $1.07B free cash flow, Genmab is attractively valued for a high-growth biotech with proven commercial execution [4]. The DuoBody bispecific platform powering four approved medicines represents a durable technology moat that partners continue to validate through new collaborations.</w:t>
      </w:r>
    </w:p>
    <w:p>
      <w:pPr>
        <w:spacing w:after="120"/>
      </w:pPr>
      <w:r>
        <w:rPr>
          <w:rFonts w:ascii="Calibri" w:hAnsi="Calibri"/>
          <w:b w:val="0"/>
          <w:color w:val="3A4A28"/>
          <w:sz w:val="20"/>
        </w:rPr>
        <w:t>The bear case centers on DARZALEX concentration risk and rising operating expenses. DARZALEX royalties represent approximately 67% of 2025 revenue, creating significant dependency on a single J&amp;J-controlled product that will eventually face biosimilar competition (patent expiration timeline uncertain but approaching within the next decade) [1]. Operating expenses are guided to increase 23-32% in 2026 ($2.7-2.9B vs $2.2B) as Genmab invests in late-stage trials and commercial launch readiness, compressing operating margins and potentially causing operating profit to decline from $1.3B to as low as $0.9B [1]. The PEG ratio of 1.75 suggests the stock is not cheap relative to near-term earnings growth, particularly given the -94.4% earnings growth in the most recent period. The transition from royalty-dependent to commercial company carries execution risk in building sales forces and market access capabilities across multiple geographies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EPKINLY expansion into first-line DLBCL and FL — potential to transform the product from $468M to a multi-billion dollar franchise as earlier treatment lines are captured [1]</w:t>
      </w:r>
    </w:p>
    <w:p>
      <w:pPr>
        <w:spacing w:before="40" w:after="40"/>
        <w:ind w:left="283"/>
      </w:pPr>
      <w:r>
        <w:rPr>
          <w:rFonts w:ascii="Calibri" w:hAnsi="Calibri"/>
          <w:b/>
          <w:color w:val="4A6B25"/>
          <w:sz w:val="20"/>
        </w:rPr>
        <w:t xml:space="preserve">2. </w:t>
      </w:r>
      <w:r>
        <w:rPr>
          <w:rFonts w:ascii="Calibri" w:hAnsi="Calibri"/>
          <w:b w:val="0"/>
          <w:color w:val="3A4A28"/>
          <w:sz w:val="20"/>
        </w:rPr>
        <w:t>DARZALEX continued growth toward $16B+ annual net sales in 2026, driving royalty revenue expansion for Genmab [1]</w:t>
      </w:r>
    </w:p>
    <w:p>
      <w:pPr>
        <w:spacing w:before="40" w:after="40"/>
        <w:ind w:left="283"/>
      </w:pPr>
      <w:r>
        <w:rPr>
          <w:rFonts w:ascii="Calibri" w:hAnsi="Calibri"/>
          <w:b/>
          <w:color w:val="4A6B25"/>
          <w:sz w:val="20"/>
        </w:rPr>
        <w:t xml:space="preserve">3. </w:t>
      </w:r>
      <w:r>
        <w:rPr>
          <w:rFonts w:ascii="Calibri" w:hAnsi="Calibri"/>
          <w:b w:val="0"/>
          <w:color w:val="3A4A28"/>
          <w:sz w:val="20"/>
        </w:rPr>
        <w:t>Late-stage pipeline readouts — tisotumab vedotin in solid tumors, acasunlimab in NSCLC, and rinatabart sesutecan in ovarian cancer represent significant market opportunities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DARZALEX concentration risk — royalties from a single J&amp;J-controlled product represent ~67% of revenue, with eventual biosimilar competition threatening this stream [1]</w:t>
      </w:r>
    </w:p>
    <w:p>
      <w:pPr>
        <w:spacing w:before="40" w:after="40"/>
        <w:ind w:left="283"/>
      </w:pPr>
      <w:r>
        <w:rPr>
          <w:rFonts w:ascii="Calibri" w:hAnsi="Calibri"/>
          <w:b/>
          <w:color w:val="4A6B25"/>
          <w:sz w:val="20"/>
        </w:rPr>
        <w:t xml:space="preserve">2. </w:t>
      </w:r>
      <w:r>
        <w:rPr>
          <w:rFonts w:ascii="Calibri" w:hAnsi="Calibri"/>
          <w:b w:val="0"/>
          <w:color w:val="3A4A28"/>
          <w:sz w:val="20"/>
        </w:rPr>
        <w:t>Operating expense ramp — $2.7-2.9B guided 2026 opex (up 23-32%) for pipeline and launch investments may compress operating margins and disappoint earnings-focused investors [1]</w:t>
      </w:r>
    </w:p>
    <w:p>
      <w:pPr>
        <w:spacing w:before="40" w:after="40"/>
        <w:ind w:left="283"/>
      </w:pPr>
      <w:r>
        <w:rPr>
          <w:rFonts w:ascii="Calibri" w:hAnsi="Calibri"/>
          <w:b/>
          <w:color w:val="4A6B25"/>
          <w:sz w:val="20"/>
        </w:rPr>
        <w:t xml:space="preserve">3. </w:t>
      </w:r>
      <w:r>
        <w:rPr>
          <w:rFonts w:ascii="Calibri" w:hAnsi="Calibri"/>
          <w:b w:val="0"/>
          <w:color w:val="3A4A28"/>
          <w:sz w:val="20"/>
        </w:rPr>
        <w:t>Clinical trial execution risk — multiple late-stage programs running simultaneously across indications creates binary event risk if key readouts disappoint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Genmab's core business — discovering, developing, and commercializing antibody-based therapeutics — is structurally immune to AI disruption. Drug development requires wet-lab biology, multi-year clinical trials, regulatory approval (FDA, EMA), and physical manufacturing of biologic medicines that AI cannot replace [2]. The antibody engineering process involves proprietary biological platforms (DuoBody, HexaBody, DuoHexaBody) that represent decades of accumulated know-how. If anything, AI increases demand for Genmab's capabilities by accelerating target identification and enabling more efficient clinical trial design. The company's partnership-heavy model with J&amp;J, AbbVie, and Novo Nordisk creates contractual moats that are independent of AI dynamics. AI Opportunity (1/1): Genmab is actively deploying AI in its Discovery platform for target identification and antibody candidate design using in silico approaches, which should accelerate pipeline development and reduce preclinical costs, contributing to long-term productivity gains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Genmab 2025 Annual Report — $3.72B revenue, 19% growth, DARZALEX $14.3B net sales, EPKINLY $468M, 2026 guidance $4.1-4.4B, February 2026</w:t>
      </w:r>
    </w:p>
    <w:p>
      <w:pPr>
        <w:spacing w:before="20" w:after="20"/>
        <w:ind w:left="170"/>
      </w:pPr>
      <w:r>
        <w:rPr>
          <w:rFonts w:ascii="Calibri" w:hAnsi="Calibri"/>
          <w:b/>
          <w:color w:val="4A6B25"/>
          <w:sz w:val="15"/>
        </w:rPr>
        <w:t xml:space="preserve">2. </w:t>
      </w:r>
      <w:r>
        <w:rPr>
          <w:rFonts w:ascii="Calibri" w:hAnsi="Calibri"/>
          <w:b w:val="0"/>
          <w:color w:val="3A4A28"/>
          <w:sz w:val="17"/>
        </w:rPr>
        <w:t>Genmab corporate website — executive leadership (CEO Jan van de Winkel since 2010), AI strategy, DuoBody technology platform, culture initiatives</w:t>
      </w:r>
    </w:p>
    <w:p>
      <w:pPr>
        <w:spacing w:before="20" w:after="20"/>
        <w:ind w:left="170"/>
      </w:pPr>
      <w:r>
        <w:rPr>
          <w:rFonts w:ascii="Calibri" w:hAnsi="Calibri"/>
          <w:b/>
          <w:color w:val="4A6B25"/>
          <w:sz w:val="15"/>
        </w:rPr>
        <w:t xml:space="preserve">3. </w:t>
      </w:r>
      <w:r>
        <w:rPr>
          <w:rFonts w:ascii="Calibri" w:hAnsi="Calibri"/>
          <w:b w:val="0"/>
          <w:color w:val="3A4A28"/>
          <w:sz w:val="17"/>
        </w:rPr>
        <w:t>Genmab 2023 Corporate Responsibility Report and ESG disclosures, SASB-aligned reporting</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GMAB (Genmab A/S), retrieved April 22,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