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GNL</w:t>
      </w:r>
      <w:r>
        <w:rPr>
          <w:rFonts w:ascii="Calibri" w:hAnsi="Calibri"/>
          <w:b/>
          <w:color w:val="1A2010"/>
          <w:sz w:val="40"/>
        </w:rPr>
        <w:t xml:space="preserve">  Global Net Lease, Inc.</w:t>
      </w:r>
    </w:p>
    <w:p>
      <w:pPr>
        <w:spacing w:after="120"/>
      </w:pPr>
      <w:r>
        <w:rPr>
          <w:rFonts w:ascii="Calibri" w:hAnsi="Calibri"/>
          <w:b/>
          <w:color w:val="6E8450"/>
          <w:sz w:val="18"/>
        </w:rPr>
        <w:t>DIVIDEND SLEEVE · 2026-04-16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Global Net Lease is an internally managed net lease REIT that acquires and manages single-tenant, net lease assets backed by creditworthy tenants across the U.S. and Western/Northern Europe. The company is executing a capital recycling strategy to reduce office exposure and redeploy into industrial and retail net lease properties. GNL completed its internalization and merger with The Necessity Retail REIT in 2023.</w:t>
      </w:r>
    </w:p>
    <w:p>
      <w:r>
        <w:rPr>
          <w:rFonts w:ascii="Calibri" w:hAnsi="Calibri"/>
          <w:b/>
          <w:color w:val="6E8450"/>
          <w:sz w:val="18"/>
        </w:rPr>
        <w:t>56 Employees · https://www.globalnetlease.com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GNL completed its merger with The Necessity Retail REIT and management internalization in 2023, which was transformative but created execution complexity. The company subsequently divested its shopping center portfolio to simplify its focus on single-tenant net lease assets [1]. Revenue declined 15.1% YoY to $495.3M as dispositions outpaced acquisitions [3]. AI Deployment (0/2): No AI-powered products or AI-driven operational efficiencies. Net lease REITs are fundamentally a property acquisition and management business with minimal technology differentiation. Market Share (1/2): GNL is a meaningful player in net lease REITs but small relative to leaders like Realty Income ($70B+ market cap) and W.P. Carey. At a $2.0B market cap, GNL is a mid-tier participant without category leadership [3]. Pipeline (0/2): No specific acquisition pipeline announced with timelines. The 2026 guidance focuses on capital recycling rather than growth acquisitions. R&amp;D Intensity (1/1): Not applicable in the traditional sense, but GNL's investment in portfolio restructuring and deleveraging reflects strategic capital allocation appropriate for a REIT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GNL's stated purpose is to 'deliver durable, long-term value through a focused strategy of acquiring and actively managing single-tenant net lease assets backed by creditworthy tenants' [2]. This is a generic financial-return mission interchangeable with any net lease REIT. It describes what the company does, not why it exists beyond generating returns. Community Impact (1/2): GNL operates properties that employ tenants and serve communities across the U.S. and Europe, providing functional real estate infrastructure. However, no specific charitable programs, foundations, or community investment initiatives were identified. Employee Retention (1/2): With only 56 employees post-internalization, GNL is lean. CEO Mike Weil was appointed in March 2024, representing relatively new leadership. The small team and recent management transition suggest stability is being established but not yet proven [2]. Insider Buying (1/2): No specific insider buying data with dollar amounts was found. The recent CEO appointment and internalization suggest management alignment, but without concrete insider purchase data, this scores modestly.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GNL's financial profile reflects a REIT in turnaround mode. Revenue declined 15.1% YoY to $495.3M due to asset dispositions, and GAAP net income was -$225.5M with a -45.5% profit margin [1][3]. D/E of 153.9% is elevated though typical for REITs, and ROE is negative at -7.1%. The GAAP payout ratio is undefined (negative earnings), though on an AFFO basis the dividend is more manageable. The company has reduced net debt by $2.0B since Q3 2024, which is significant deleveraging [1]. The dividend of $0.76/year (8.0% yield) has been paid for 11 consecutive years but was materially cut from prior levels and has not grown. Liquidity floor cleared: 2.0M avg volume x $9.49 = $18.7M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GNL shows mixed infinite game characteristics. The company is executing a disciplined turnaround strategy — reducing debt by $2.0B, disposing of non-core assets, and simplifying to pure-play net lease — which reflects long-term thinking. However, the frequent strategic pivots (external management to internal, merger with Necessity Retail, disposal of shopping centers) suggest reactive decision-making rather than a consistent long-term cause. The 32% total return in 2025 is encouraging but driven by tactical moves rather than a sustained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GNL's purpose is essentially financial engineering — acquiring net lease assets at attractive cap rates and managing them for stable income. This is a legitimate business model but lacks a Just Cause beyond generating returns [2]. The company has changed its strategic identity multiple times in three years (external to internal management, merger, portfolio simplification), suggesting the cause is still being defined rather than guiding decisions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56 employees, GNL is a very lean organization where trust and communication are structurally easier. CEO Mike Weil, appointed March 2024, brings fresh leadership to execute the turnaround strategy [2]. The internalization of management in 2023 aligned employee incentives with shareholder interests. However, the leadership change is recent and the team has not yet been tested through a full market cycle together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 operates in a sector with clear worthy rivals — Realty Income, W.P. Carey, STORE Capital — whose superior scale, credit ratings, and execution provide benchmarks for improvement. However, GNL's public messaging focuses on outperforming peers (32% return vs 12% peer average) rather than learning from rivals' strengths, suggesting a more finite competitive framing [1]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 has shown willingness to fundamentally restructure — the internalization, merger with Necessity Retail, and subsequent disposal of the shopping center portfolio represent significant strategic pivots within three years [1]. The company shifted from externally managed diversified REIT to internally managed pure-play net lease. However, these changes were arguably forced by investor pressure and poor stock performance rather than driven by a forward-looking vision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reduce net debt by $2.0B through aggressive asset dispositions, even at the cost of near-term revenue decline (-15.1% YoY), demonstrates willingness to sacrifice current income for balance sheet strength [1]. Disposing of the shopping center portfolio to simplify the story required accepting short-term revenue loss. However, these were largely defensive moves necessitated by overleveraging rather than proactive long-term investments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 Net Lease is a net lease REIT executing a disciplined turnaround after its 2023 merger with Necessity Retail REIT. The company delivered a 32% total return in 2025, nearly triple the 12% net lease peer average, validating its capital recycling strategy [1]. Net debt has been reduced by $2.0B since Q3 2024, and the company achieved an investment-grade credit rating. The 8.0% dividend yield is attractive for income investors, supported by 11 consecutive years of dividend payments. Contract backlog across the global portfolio provides rental income visibility, and the shift from office to industrial/retail net lease assets positions the portfolio for better long-term fundamentals. FY2026 guidance of $0.80-$0.84 AFFO/share suggests stabilization [1].</w:t>
      </w:r>
    </w:p>
    <w:p>
      <w:pPr>
        <w:spacing w:after="120"/>
      </w:pPr>
      <w:r>
        <w:rPr>
          <w:rFonts w:ascii="Calibri" w:hAnsi="Calibri"/>
          <w:b w:val="0"/>
          <w:color w:val="3A4A28"/>
          <w:sz w:val="20"/>
        </w:rPr>
        <w:t>The bear case centers on GAAP profitability, leverage, and dividend sustainability. GAAP net income was -$225.5M with a -45.5% profit margin, reflecting impairments and depreciation that mask the underlying cash flow business [3]. Revenue declined 15.1% YoY to $495.3M as asset dispositions outpaced acquisitions — the company is shrinking to improve quality. D/E of 153.9% remains elevated despite the $2.0B deleveraging, and the forward P/E is negative, meaning the company cannot cover its dividend from GAAP earnings [3]. The dividend was materially cut from historical levels and has zero consecutive years of growth. The 56-employee team must manage a global portfolio across the U.S. and Europe, creating operational risk. Interest rate sensitivity is significant — if rates remain elevated, GNL's cost of debt and cap rate spreads will compress, limiting accretive acquisition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capital recycling — disposing of remaining office assets and redeploying into industrial/retail net lease at accretive spreads, improving portfolio quality and reducing lease risk [1]</w:t>
      </w:r>
    </w:p>
    <w:p>
      <w:pPr>
        <w:spacing w:before="40" w:after="40"/>
        <w:ind w:left="283"/>
      </w:pPr>
      <w:r>
        <w:rPr>
          <w:rFonts w:ascii="Calibri" w:hAnsi="Calibri"/>
          <w:b/>
          <w:color w:val="4A6B25"/>
          <w:sz w:val="20"/>
        </w:rPr>
        <w:t xml:space="preserve">2. </w:t>
      </w:r>
      <w:r>
        <w:rPr>
          <w:rFonts w:ascii="Calibri" w:hAnsi="Calibri"/>
          <w:b w:val="0"/>
          <w:color w:val="3A4A28"/>
          <w:sz w:val="20"/>
        </w:rPr>
        <w:t>Investment-grade credit rating enables lower-cost debt refinancing, potentially improving net interest margins and AFFO per share as legacy debt matures [1]</w:t>
      </w:r>
    </w:p>
    <w:p>
      <w:pPr>
        <w:spacing w:before="40" w:after="40"/>
        <w:ind w:left="283"/>
      </w:pPr>
      <w:r>
        <w:rPr>
          <w:rFonts w:ascii="Calibri" w:hAnsi="Calibri"/>
          <w:b/>
          <w:color w:val="4A6B25"/>
          <w:sz w:val="20"/>
        </w:rPr>
        <w:t xml:space="preserve">3. </w:t>
      </w:r>
      <w:r>
        <w:rPr>
          <w:rFonts w:ascii="Calibri" w:hAnsi="Calibri"/>
          <w:b w:val="0"/>
          <w:color w:val="3A4A28"/>
          <w:sz w:val="20"/>
        </w:rPr>
        <w:t>FY2026 AFFO guidance of $0.80-$0.84/share, if achieved, would demonstrate earnings stabilization and support the current $0.76/year dividend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15.1% YoY due to asset dispositions may continue if office exit proceeds exceed acquisition deployment, shrinking the portfolio and rental income base [1][3]</w:t>
      </w:r>
    </w:p>
    <w:p>
      <w:pPr>
        <w:spacing w:before="40" w:after="40"/>
        <w:ind w:left="283"/>
      </w:pPr>
      <w:r>
        <w:rPr>
          <w:rFonts w:ascii="Calibri" w:hAnsi="Calibri"/>
          <w:b/>
          <w:color w:val="4A6B25"/>
          <w:sz w:val="20"/>
        </w:rPr>
        <w:t xml:space="preserve">2. </w:t>
      </w:r>
      <w:r>
        <w:rPr>
          <w:rFonts w:ascii="Calibri" w:hAnsi="Calibri"/>
          <w:b w:val="0"/>
          <w:color w:val="3A4A28"/>
          <w:sz w:val="20"/>
        </w:rPr>
        <w:t>Elevated D/E of 153.9% and negative GAAP earnings create refinancing risk if credit markets tighten or the investment-grade rating is downgraded [3]</w:t>
      </w:r>
    </w:p>
    <w:p>
      <w:pPr>
        <w:spacing w:before="40" w:after="40"/>
        <w:ind w:left="283"/>
      </w:pPr>
      <w:r>
        <w:rPr>
          <w:rFonts w:ascii="Calibri" w:hAnsi="Calibri"/>
          <w:b/>
          <w:color w:val="4A6B25"/>
          <w:sz w:val="20"/>
        </w:rPr>
        <w:t xml:space="preserve">3. </w:t>
      </w:r>
      <w:r>
        <w:rPr>
          <w:rFonts w:ascii="Calibri" w:hAnsi="Calibri"/>
          <w:b w:val="0"/>
          <w:color w:val="3A4A28"/>
          <w:sz w:val="20"/>
        </w:rPr>
        <w:t>Office exposure (being disposed) carries vacancy and re-leasing risk as remote work trends persist, potentially requiring capital expenditure or rent concessions on remaining office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Net lease real estate is a physical-world business that AI structurally cannot displace. GNL owns and manages buildings leased to tenants under long-term triple-net leases — AI cannot replace physical real estate infrastructure [2]. The business is driven by lease contracts, property location, and tenant credit quality, none of which are vulnerable to AI substitution. If anything, AI adoption by tenants (industrial, retail, office) could increase demand for net lease properties as tenants invest in technology upgrades within their leased spaces. AI Opportunity (0/1): No AI-derived revenue. GNL does not sell AI products or services. The company may use data analytics for acquisition underwriting, but this does not constitute meaningful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 Net Lease Q4/FY2025 Results — 32% total return, $2.0B net debt reduction, $117.0M Q4 revenue, FY2026 AFFO guidance $0.80-$0.84, February 2026</w:t>
      </w:r>
    </w:p>
    <w:p>
      <w:pPr>
        <w:spacing w:before="20" w:after="20"/>
        <w:ind w:left="170"/>
      </w:pPr>
      <w:r>
        <w:rPr>
          <w:rFonts w:ascii="Calibri" w:hAnsi="Calibri"/>
          <w:b/>
          <w:color w:val="4A6B25"/>
          <w:sz w:val="15"/>
        </w:rPr>
        <w:t xml:space="preserve">2. </w:t>
      </w:r>
      <w:r>
        <w:rPr>
          <w:rFonts w:ascii="Calibri" w:hAnsi="Calibri"/>
          <w:b w:val="0"/>
          <w:color w:val="3A4A28"/>
          <w:sz w:val="17"/>
        </w:rPr>
        <w:t>Global Net Lease corporate website — Leadership (CEO Mike Weil), strategy, investor relations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GNL (Global Net Lease Inc.),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