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GNPX</w:t>
      </w:r>
      <w:r>
        <w:rPr>
          <w:rFonts w:ascii="Calibri" w:hAnsi="Calibri"/>
          <w:b/>
          <w:color w:val="1A2010"/>
          <w:sz w:val="40"/>
        </w:rPr>
        <w:t xml:space="preserve">  Genprex, Inc.</w:t>
      </w:r>
    </w:p>
    <w:p>
      <w:pPr>
        <w:spacing w:after="120"/>
      </w:pPr>
      <w:r>
        <w:rPr>
          <w:rFonts w:ascii="Calibri" w:hAnsi="Calibri"/>
          <w:b/>
          <w:color w:val="6E8450"/>
          <w:sz w:val="18"/>
        </w:rPr>
        <w:t>GROWTH SLEEVE · 2026-05-05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Genprex is a clinical-stage gene therapy company developing therapies for cancer and diabetes. Its oncology program utilizes the tumor suppressor gene TUSC2 (GPX-001/REQORSA) delivered via nanoparticle for non-small cell lung cancer, and its diabetes program (GPX-002) targets type 1 and type 2 diabetes using gene therapy.</w:t>
      </w:r>
    </w:p>
    <w:p>
      <w:r>
        <w:rPr>
          <w:rFonts w:ascii="Calibri" w:hAnsi="Calibri"/>
          <w:b/>
          <w:color w:val="6E8450"/>
          <w:sz w:val="18"/>
        </w:rPr>
        <w:t>13 Employees · https://www.genprex.com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Genprex has been in clinical stage since 2009 with zero approved products and zero revenue after 17 years of development; the company has not successfully launched any product or demonstrated a commercial pivot [1]. AI Deployment (0/2): No evidence of AI-powered products or AI-driven internal efficiencies at this 13-person company. Market Share (0/2): No commercial products and therefore no market share in any therapeutic category. Pipeline (1/2): Researchers presented promising lung cancer data at AACR 2026 on the GPX-001 program, and GPX-002 diabetes gene therapy has shown positive preclinical data, providing some pipeline visibility [2]. R&amp;D Intensity (1/1): As a clinical-stage biotech with zero revenue, essentially 100% of spending is R&amp;D, far exceeding industry averages in relative terms.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Genprex's mission to develop life-changing gene therapies for patients with cancer and diabetes is clear and service-oriented but not distinctive among clinical-stage biotechs — it describes aspiration rather than a validated transformative purpose. Community Impact (0/2): No evidence of charitable programs or community investment beyond the inherent social value of cancer/diabetes research at a company with only 13 employees. Employee Retention (0/2): With only 13 employees and no public retention data, this item cannot be scored; the CEO's death in 2024 creates leadership disruption concerns [3]. Insider Buying (1/2): Ryan Confer's transition from CFO (since 2011) to CEO following founder Varner's passing suggests long-term insider commitment, though no specific recent purchase data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(934,428) x stock_price ($0.94) = $877,960, which is below the $1,000,000 minimum threshold [4]. Even without the liquidity floor, fundamentals are catastrophic: zero revenue for all years on record, ROE of -339%, forward P/E of -0.43 (reflecting massive expected losses vs. tiny price), market cap under $10M, and forecasted EBIT of -$33M for 2026 [1][4]. The company faces going concern risk with minimal cash reserves.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Genprex demonstrates genuine purpose in gene therapy for underserved patients but existential financial constraints force finite-game survival thinking. The company cannot invest for the long term when cash reserves are critically low, and 17 years without commercial validation raises questions about whether the cause can ever be realized through this organization.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Genprex articulates a purpose around gene therapy for cancer and diabetes patients, but this cause has not been validated by execution across 17 years of pre-commercial development. The mission exists and is service-oriented, but has not shaped strategic decisions in a way that differentiates from other failed clinical-stage biotechs.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13 employees and no public culture data, there is no evidence of exceptional trust or psychological safety. The traumatic loss of founding CEO Varner in 2024 and resulting leadership transition creates organizational fragility at an already tiny company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or learning from competitors' strengths in gene therapy. Company communications focus exclusively on its own programs without referencing what can be learned from Spark Therapeutics, bluebird bio, or other gene therapy leaders.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Genprex expanded from oncology (TUSC2/GPX-001 for lung cancer) into diabetes gene therapy (GPX-002), leveraging its gene delivery platform for a different therapeutic area [2]. This shows incremental adaptability, though both programs remain pre-commercial after many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 has persisted in advancing its pipeline despite a stock decline from highs of $100+ to under $1, severe capital constraints, and the loss of its founding CEO. Presenting data at AACR 2026 shows continued scientific investment despite adversity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Genprex operates at the frontier of gene therapy with promising AACR 2026 lung cancer data on GPX-001 and an emerging diabetes gene therapy program (GPX-002) that targets massive addressable markets [2]. The company's nanoparticle delivery platform for tumor suppressor genes represents a differentiated approach to cancer treatment, and the Inspire score of 53 (ALIGNED) reflects genuine patient welfare orientation. At a market cap under $10M, any clinical validation or partnership announcement could drive outsized percentage returns from current depressed levels.</w:t>
      </w:r>
    </w:p>
    <w:p>
      <w:pPr>
        <w:spacing w:after="120"/>
      </w:pPr>
      <w:r>
        <w:rPr>
          <w:rFonts w:ascii="Calibri" w:hAnsi="Calibri"/>
          <w:b w:val="0"/>
          <w:color w:val="3A4A28"/>
          <w:sz w:val="20"/>
        </w:rPr>
        <w:t>The bear case is overwhelming and immediate: Genprex has generated zero revenue after 17 years of development, carries a market cap of ~$9.8M with only 13 employees, and forecasts -$33M EBIT in 2026 [1][4]. The stock fails the IOWN liquidity floor with daily dollar volume under $880K. Following co-founder/CEO Varner's death in 2024, leadership continuity risk is elevated [3]. The company requires continuous dilutive financing to survive, with no clear path to profitability for years even in optimistic scenarios. Clinical-stage biotechs at this scale have extremely high failure rates — the vast majority never achieve commercial approval. This is an uninvestable security by institutional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GPX-001 AACR 2026 lung cancer data could validate the TUSC2 gene therapy mechanism and attract partnership interest from larger pharma companies [2]</w:t>
      </w:r>
    </w:p>
    <w:p>
      <w:pPr>
        <w:spacing w:before="40" w:after="40"/>
        <w:ind w:left="283"/>
      </w:pPr>
      <w:r>
        <w:rPr>
          <w:rFonts w:ascii="Calibri" w:hAnsi="Calibri"/>
          <w:b/>
          <w:color w:val="4A6B25"/>
          <w:sz w:val="20"/>
        </w:rPr>
        <w:t xml:space="preserve">2. </w:t>
      </w:r>
      <w:r>
        <w:rPr>
          <w:rFonts w:ascii="Calibri" w:hAnsi="Calibri"/>
          <w:b w:val="0"/>
          <w:color w:val="3A4A28"/>
          <w:sz w:val="20"/>
        </w:rPr>
        <w:t>GPX-002 diabetes gene therapy IND filing advancement would open a $50B+ addressable market in Type 1/Type 2 diabetes</w:t>
      </w:r>
    </w:p>
    <w:p>
      <w:pPr>
        <w:spacing w:before="40" w:after="40"/>
        <w:ind w:left="283"/>
      </w:pPr>
      <w:r>
        <w:rPr>
          <w:rFonts w:ascii="Calibri" w:hAnsi="Calibri"/>
          <w:b/>
          <w:color w:val="4A6B25"/>
          <w:sz w:val="20"/>
        </w:rPr>
        <w:t xml:space="preserve">3. </w:t>
      </w:r>
      <w:r>
        <w:rPr>
          <w:rFonts w:ascii="Calibri" w:hAnsi="Calibri"/>
          <w:b w:val="0"/>
          <w:color w:val="3A4A28"/>
          <w:sz w:val="20"/>
        </w:rPr>
        <w:t>Potential licensing or partnership deal for the nanoparticle delivery platform would provide non-dilutive funding and validation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going concern risk — zero revenue, ~$16M annual net losses, and critically low cash reserves require immediate dilutive capital raises to continue operations [1][4]</w:t>
      </w:r>
    </w:p>
    <w:p>
      <w:pPr>
        <w:spacing w:before="40" w:after="40"/>
        <w:ind w:left="283"/>
      </w:pPr>
      <w:r>
        <w:rPr>
          <w:rFonts w:ascii="Calibri" w:hAnsi="Calibri"/>
          <w:b/>
          <w:color w:val="4A6B25"/>
          <w:sz w:val="20"/>
        </w:rPr>
        <w:t xml:space="preserve">2. </w:t>
      </w:r>
      <w:r>
        <w:rPr>
          <w:rFonts w:ascii="Calibri" w:hAnsi="Calibri"/>
          <w:b w:val="0"/>
          <w:color w:val="3A4A28"/>
          <w:sz w:val="20"/>
        </w:rPr>
        <w:t>Fails IOWN liquidity floor — daily dollar volume of $878K makes position entry/exit impractical for any meaningful allocation and signals delisting risk [4]</w:t>
      </w:r>
    </w:p>
    <w:p>
      <w:pPr>
        <w:spacing w:before="40" w:after="40"/>
        <w:ind w:left="283"/>
      </w:pPr>
      <w:r>
        <w:rPr>
          <w:rFonts w:ascii="Calibri" w:hAnsi="Calibri"/>
          <w:b/>
          <w:color w:val="4A6B25"/>
          <w:sz w:val="20"/>
        </w:rPr>
        <w:t xml:space="preserve">3. </w:t>
      </w:r>
      <w:r>
        <w:rPr>
          <w:rFonts w:ascii="Calibri" w:hAnsi="Calibri"/>
          <w:b w:val="0"/>
          <w:color w:val="3A4A28"/>
          <w:sz w:val="20"/>
        </w:rPr>
        <w:t>Clinical failure risk — 17 years without a commercial product and no Phase III completion suggests high probability of continued value destruction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Genprex's core business of gene therapy development requires wet-lab biology, physical drug manufacturing, clinical trials with human participants, and FDA regulatory processes that AI structurally cannot replace [1]. Gene therapy vectors must be physically produced and administered to patients. However, AI-driven drug discovery at competing firms could accelerate rival programs, potentially compressing Genprex's competitive window. The company's niche in tumor suppressor gene delivery is not easily replicable by AI tools. AI Opportunity (1/1): Computational biology and AI-assisted gene design are emerging tools in gene therapy that could enhance GPX-002 development if adopted; Genprex collaborators have leveraged computational approaches in preclinical 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Fintel — GNPX financials: zero revenue, TTM net loss $16.2M, EPS -$17.40, forecasted 2026 EPS -$0.47, EBIT -$33M</w:t>
      </w:r>
    </w:p>
    <w:p>
      <w:pPr>
        <w:spacing w:before="20" w:after="20"/>
        <w:ind w:left="170"/>
      </w:pPr>
      <w:r>
        <w:rPr>
          <w:rFonts w:ascii="Calibri" w:hAnsi="Calibri"/>
          <w:b/>
          <w:color w:val="4A6B25"/>
          <w:sz w:val="15"/>
        </w:rPr>
        <w:t xml:space="preserve">2. </w:t>
      </w:r>
      <w:r>
        <w:rPr>
          <w:rFonts w:ascii="Calibri" w:hAnsi="Calibri"/>
          <w:b w:val="0"/>
          <w:color w:val="3A4A28"/>
          <w:sz w:val="17"/>
        </w:rPr>
        <w:t>GuruFocus — 'Genprex Researchers to Present at AACR 2026 with Promising Lung Cancer Data', April 2026</w:t>
      </w:r>
    </w:p>
    <w:p>
      <w:pPr>
        <w:spacing w:before="20" w:after="20"/>
        <w:ind w:left="170"/>
      </w:pPr>
      <w:r>
        <w:rPr>
          <w:rFonts w:ascii="Calibri" w:hAnsi="Calibri"/>
          <w:b/>
          <w:color w:val="4A6B25"/>
          <w:sz w:val="15"/>
        </w:rPr>
        <w:t xml:space="preserve">3. </w:t>
      </w:r>
      <w:r>
        <w:rPr>
          <w:rFonts w:ascii="Calibri" w:hAnsi="Calibri"/>
          <w:b w:val="0"/>
          <w:color w:val="3A4A28"/>
          <w:sz w:val="17"/>
        </w:rPr>
        <w:t>PR Newswire — 'Genprex Announces the Passing of its Co-Founder and Chief Executive Officer, Rodney Varner', May 2024; Ryan Confer appointed CEO</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GNPX (Genprex), retrieved May 5, 2026 — price $0.94, avg volume 934K, market cap $9.8M</w:t>
      </w:r>
    </w:p>
    <w:p>
      <w:pPr>
        <w:spacing w:before="20" w:after="20"/>
        <w:ind w:left="170"/>
      </w:pPr>
      <w:r>
        <w:rPr>
          <w:rFonts w:ascii="Calibri" w:hAnsi="Calibri"/>
          <w:b/>
          <w:color w:val="4A6B25"/>
          <w:sz w:val="15"/>
        </w:rPr>
        <w:t xml:space="preserve">5. </w:t>
      </w:r>
      <w:r>
        <w:rPr>
          <w:rFonts w:ascii="Calibri" w:hAnsi="Calibri"/>
          <w:b w:val="0"/>
          <w:color w:val="3A4A28"/>
          <w:sz w:val="17"/>
        </w:rPr>
        <w:t>Genprex Corporate Website — Company Management and Board of Directors,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