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GNRC</w:t>
      </w:r>
      <w:r>
        <w:rPr>
          <w:rFonts w:ascii="Calibri" w:hAnsi="Calibri"/>
          <w:b/>
          <w:color w:val="1A2010"/>
          <w:sz w:val="40"/>
        </w:rPr>
        <w:t xml:space="preserve">  Generac Holdings Inc.</w:t>
      </w:r>
    </w:p>
    <w:p>
      <w:pPr>
        <w:spacing w:after="120"/>
      </w:pPr>
      <w:r>
        <w:rPr>
          <w:rFonts w:ascii="Calibri" w:hAnsi="Calibri"/>
          <w:b/>
          <w:color w:val="6E8450"/>
          <w:sz w:val="18"/>
        </w:rPr>
        <w:t>GROWTH SLEEVE · 2026-05-02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Generac Holdings is a global energy technology company that designs, manufactures, and sells power generation equipment, energy storage systems, and smart grid solutions. The company serves residential, commercial, and industrial markets with backup generators, battery storage, inverters, and integrated energy management platforms.</w:t>
      </w:r>
    </w:p>
    <w:p>
      <w:r>
        <w:rPr>
          <w:rFonts w:ascii="Calibri" w:hAnsi="Calibri"/>
          <w:b/>
          <w:color w:val="6E8450"/>
          <w:sz w:val="18"/>
        </w:rPr>
        <w:t>9,400 Employees · https://www.generac.com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Generac has transformed from a legacy generator manufacturer into an energy technology platform, integrating generators, battery storage, inverters, and smart controls into unified ecosystems purpose-built for data center and AI-driven load requirements [1][2]. C&amp;I segment growth of mid-to-high 20% in 2026 reflects successful positioning for the AI infrastructure buildout [1]. The company's grid services and home energy management platforms represent genuine market-creating innovation beyond traditional backup power.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Aaron Jagdfeld has led Generac since its founding era and driven the energy technology pivot, demonstrating long-term vision [2]. However, Glassdoor rating of 2.9/5 from 836 reviews with executive team ranked in the bottom 30% of similar-sized companies signals significant cultural challenges [2]. Employee feedback suggests top-down management style with limited challenge to CEO views, though recent improvements noted.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growth of 12.4% YoY with raised guidance to mid-to-high teens for FY2026 demonstrates solid momentum [1]. However, trailing profit margin of only 4.4% and ROE of 7.4% are weak for an industrial leader, reflecting margin recovery still in progress after the post-COVID normalization [3]. Forward P/E of 24.8x with PEG of 1.25 suggests reasonable valuation. D/E of 55.6% is manageable. Liquidity: 1.1M avg volume x $259.34 = $286M, well above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Generac demonstrates long-term strategic thinking through its energy technology transformation under 20+ year CEO Jagdfeld, but cultural challenges, a top-down management style, and cyclical business dynamics partially undermine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evolution toward powering a cleaner, more resilient energy future — integrating solar, storage, and backup generation — represents a cause beyond quarterly profits [2][4]. Enabling grid resilience during climate-driven outages and powering AI infrastructure serves long-term societal needs.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2.9/5 and executive team ranked in bottom 30% of peers signals weak employee trust [2]. Reviews cite VPs unwilling to challenge CEO views and people getting 'thrown under the bus,' suggesting psychological safety issues despite recent cultural improvement efforts.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Generac competes against Caterpillar, Cummins, and Tesla Powerwall across segments, using competitive pressure to drive innovation into energy storage and grid services [2]. The company's pivot from pure generators to integrated energy technology was directly motivated by emerging competitive threats from clean energy players.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multi-year transformation from backup generator company to global energy technology platform demonstrates significant strategic flexibility [2]. Acquisitions in energy storage, grid services, and smart home energy management show willingness to cannibalize legacy business for long-term positioning.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Jagdfeld's 20+ year tenure provides strategic continuity, and the company has invested heavily in C&amp;I and data center capabilities ahead of consensus demand [1]. However, the top-down culture and weak employee sentiment suggest courage at the executive level doesn't fully translate to empowering teams throughout the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Generac is uniquely positioned at the intersection of AI infrastructure buildout and grid resilience, with its C&amp;I segment growing mid-to-high 20% as data centers demand massive backup power solutions. The company's transformation from legacy generator maker to integrated energy technology platform creates optionality across residential clean energy, commercial backup, and utility-scale grid services.</w:t>
      </w:r>
    </w:p>
    <w:p>
      <w:pPr>
        <w:spacing w:after="120"/>
      </w:pPr>
      <w:r>
        <w:rPr>
          <w:rFonts w:ascii="Calibri" w:hAnsi="Calibri"/>
          <w:b w:val="0"/>
          <w:color w:val="3A4A28"/>
          <w:sz w:val="20"/>
        </w:rPr>
        <w:t>The stock trades at 24.8x forward earnings with a PEG of 1.25, reflecting reasonable valuation for a cyclical industrial in hypergrowth mode. Key concern is the trailing margin compression (4.4% net) as the company scales C&amp;I operations, though adjusted EBITDA margin guidance of 18.5-19.5% suggests significant margin recovery ahead [1]. Cultural challenges evidenced by poor Glassdoor scores could constrain talent acquisition during this critical scaling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power demand acceleration as AI capex continues to grow, driving C&amp;I segment above mid-to-high 20% growth guidance</w:t>
      </w:r>
    </w:p>
    <w:p>
      <w:pPr>
        <w:spacing w:before="40" w:after="40"/>
        <w:ind w:left="283"/>
      </w:pPr>
      <w:r>
        <w:rPr>
          <w:rFonts w:ascii="Calibri" w:hAnsi="Calibri"/>
          <w:b/>
          <w:color w:val="4A6B25"/>
          <w:sz w:val="20"/>
        </w:rPr>
        <w:t xml:space="preserve">2. </w:t>
      </w:r>
      <w:r>
        <w:rPr>
          <w:rFonts w:ascii="Calibri" w:hAnsi="Calibri"/>
          <w:b w:val="0"/>
          <w:color w:val="3A4A28"/>
          <w:sz w:val="20"/>
        </w:rPr>
        <w:t>Margin expansion toward 18.5-19.5% adjusted EBITDA as product mix shifts to higher-margin C&amp;I and operational leverage improves</w:t>
      </w:r>
    </w:p>
    <w:p>
      <w:pPr>
        <w:spacing w:before="40" w:after="40"/>
        <w:ind w:left="283"/>
      </w:pPr>
      <w:r>
        <w:rPr>
          <w:rFonts w:ascii="Calibri" w:hAnsi="Calibri"/>
          <w:b/>
          <w:color w:val="4A6B25"/>
          <w:sz w:val="20"/>
        </w:rPr>
        <w:t xml:space="preserve">3. </w:t>
      </w:r>
      <w:r>
        <w:rPr>
          <w:rFonts w:ascii="Calibri" w:hAnsi="Calibri"/>
          <w:b w:val="0"/>
          <w:color w:val="3A4A28"/>
          <w:sz w:val="20"/>
        </w:rPr>
        <w:t>Residential segment recovery with growing home energy storage adoption and grid instability driving generator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Cyclicality risk — residential generator demand is highly correlated with weather events and power outages, creating revenue volatility</w:t>
      </w:r>
    </w:p>
    <w:p>
      <w:pPr>
        <w:spacing w:before="40" w:after="40"/>
        <w:ind w:left="283"/>
      </w:pPr>
      <w:r>
        <w:rPr>
          <w:rFonts w:ascii="Calibri" w:hAnsi="Calibri"/>
          <w:b/>
          <w:color w:val="4A6B25"/>
          <w:sz w:val="20"/>
        </w:rPr>
        <w:t xml:space="preserve">2. </w:t>
      </w:r>
      <w:r>
        <w:rPr>
          <w:rFonts w:ascii="Calibri" w:hAnsi="Calibri"/>
          <w:b w:val="0"/>
          <w:color w:val="3A4A28"/>
          <w:sz w:val="20"/>
        </w:rPr>
        <w:t>Cultural challenges with 2.9/5 Glassdoor rating and poor executive team perception could hinder talent retention during scaling</w:t>
      </w:r>
    </w:p>
    <w:p>
      <w:pPr>
        <w:spacing w:before="40" w:after="40"/>
        <w:ind w:left="283"/>
      </w:pPr>
      <w:r>
        <w:rPr>
          <w:rFonts w:ascii="Calibri" w:hAnsi="Calibri"/>
          <w:b/>
          <w:color w:val="4A6B25"/>
          <w:sz w:val="20"/>
        </w:rPr>
        <w:t xml:space="preserve">3. </w:t>
      </w:r>
      <w:r>
        <w:rPr>
          <w:rFonts w:ascii="Calibri" w:hAnsi="Calibri"/>
          <w:b w:val="0"/>
          <w:color w:val="3A4A28"/>
          <w:sz w:val="20"/>
        </w:rPr>
        <w:t>Trailing P/E of 81x reflects depressed near-term margins, and any delay in margin recovery could pressure the stock significantly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Generac is a direct beneficiary of AI proliferation — data center power demands are driving explosive growth in its C&amp;I segment with mid-to-high 20% growth guidance [1]. AI workloads require massive backup power infrastructure, and Generac's integrated generator-battery-inverter ecosystems are purpose-built for these fast-scaling AI-driven loads [2]. The company is positioned as critical infrastructure enabling AI rather than being disrupted by it. AI also offers operational benefits in predictive maintenance and grid optimization for Generac's installed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Generac Q1 2026 Earnings Release, GlobeNewsWire, April 29, 2026</w:t>
      </w:r>
    </w:p>
    <w:p>
      <w:pPr>
        <w:spacing w:before="20" w:after="20"/>
        <w:ind w:left="170"/>
      </w:pPr>
      <w:r>
        <w:rPr>
          <w:rFonts w:ascii="Calibri" w:hAnsi="Calibri"/>
          <w:b/>
          <w:color w:val="4A6B25"/>
          <w:sz w:val="15"/>
        </w:rPr>
        <w:t xml:space="preserve">2. </w:t>
      </w:r>
      <w:r>
        <w:rPr>
          <w:rFonts w:ascii="Calibri" w:hAnsi="Calibri"/>
          <w:b w:val="0"/>
          <w:color w:val="3A4A28"/>
          <w:sz w:val="17"/>
        </w:rPr>
        <w:t>Generac Holdings Leadership page and Glassdoor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GNRC key statistics,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Generac 2023 Environmental, Social, and Governance Report, investors.generac.com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