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GOGO</w:t>
      </w:r>
      <w:r>
        <w:rPr>
          <w:rFonts w:ascii="Calibri" w:hAnsi="Calibri"/>
          <w:b/>
          <w:color w:val="1A2010"/>
          <w:sz w:val="40"/>
        </w:rPr>
        <w:t xml:space="preserve">  Gogo Inc.</w:t>
      </w:r>
    </w:p>
    <w:p>
      <w:pPr>
        <w:spacing w:after="120"/>
      </w:pPr>
      <w:r>
        <w:rPr>
          <w:rFonts w:ascii="Calibri" w:hAnsi="Calibri"/>
          <w:b/>
          <w:color w:val="6E8450"/>
          <w:sz w:val="18"/>
        </w:rPr>
        <w:t>GROWTH SLEEVE · 2026-04-15 · Inspire: 30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NASDAQ · United States</w:t>
      </w:r>
    </w:p>
    <w:p>
      <w:pPr>
        <w:spacing w:after="80"/>
      </w:pPr>
      <w:r>
        <w:rPr>
          <w:rFonts w:ascii="Calibri" w:hAnsi="Calibri"/>
          <w:b w:val="0"/>
          <w:color w:val="3A4A28"/>
          <w:sz w:val="20"/>
        </w:rPr>
        <w:t>Gogo Inc. is the leading provider of broadband connectivity services for the business aviation market. Following its 2024 acquisition of Satcom Direct, Gogo now offers integrated air-to-ground (ATG), LEO satellite (via its partnership on Galileo), and 5G solutions to private and fractional jet operators globally.</w:t>
      </w:r>
    </w:p>
    <w:p>
      <w:r>
        <w:rPr>
          <w:rFonts w:ascii="Calibri" w:hAnsi="Calibri"/>
          <w:b/>
          <w:color w:val="6E8450"/>
          <w:sz w:val="18"/>
        </w:rPr>
        <w:t>700 Employees · https://www.gogoair.com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Q4 2025 revenue of $230.6M (up 67% YoY) and full-year 2025 revenue doubling to $910.5M show the Satcom Direct integration is delivering scale [1]. However, Q4 EPS of ($0.07) missed consensus by $0.09, signaling execution friction [1]. AI Deployment (1/2): Gogo is not an AI-native company; its product roadmap is network-centric (Galileo HDX/FDX LEO + 5G), with AI playing a limited operational role [2]. Market Share (2/2): Gogo is the dominant connectivity provider for North American business aviation, now expanded globally via Satcom Direct's enterprise relationships [2]. Pipeline (1/2): 2026 plan calls for Galileo + 5G shipments exceeding 1,000 units with ~700 Galileo aircraft installed by year-end, creating a recurring high-margin service revenue tailwind [1]. R&amp;D Intensity (0/1): R&amp;D is modest relative to satellite peers and management is cutting strategic spend and CapEx in 2026, which limits innovation upside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Gogo's mission centers on in-flight connectivity for business aviation — useful but niche, without a broader societal 'just cause' [2]. Community Impact (1/2): Modest ~700 employee base and limited community footprint; the Broomfield, CO HQ provides local economic activity but nothing noteworthy [2]. Employee Retention (1/2): Glassdoor reviews are mixed — 61% recommend the company, but reviews note that CEO Chris Moore's profitability-first vision 'has significantly worsened the work culture' post-Satcom Direct integration [2]. Insider Buying (0/2): No notable insider buying signal; ISS Compensation score of 10 (worst) signals governance concerns around executive pay alignment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Gogo's balance sheet is highly stressed. Debt-to-equity of 895.7% reflects the leveraged Satcom Direct acquisition financing and is deep in the red-flag zone [4]. TTM profit margin of just 1.4% and ROE of 15.2% on heavily levered equity show thin operating profitability [4]. Forward P/E of 5.85x is optically cheap and reflects a recovery in earnings power expected in 2026, but the trailing P/E of 52x captures the current earnings compression [4]. Revenue growth of 67.3% YoY is exceptional — but largely driven by the acquisition rather than organic growth [1]. Liquidity floor passes: 1.93M avg vol x $4.68 = ~$9M daily dollar volume [4]. The combination of extreme leverage and thin margins keeps Infrastructure in WEAK territory despite the strong top-line print.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Gogo is in a transitional phase — integrating Satcom Direct, defending turf against Starlink, and rebuilding margins. The CEO's profitability focus delivers near-term financial results but has 'significantly worsened the work culture' per Glassdoor, creating short-term-minded concerns inconsistent with infinite-game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mission — 'delivering the best inflight experience for business aviation' — is product-specific rather than a durable just cause [2]. There is no mission language about a broader societal purpose that would outlast current leadership.</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report that 'recent leadership decisions have significantly worsened the work culture' and that the new CEO's vision 'chooses to make the company look profitable at the expense of loyalty' [2]. 61% recommend rate is below best-in-class.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Gogo explicitly responds to Starlink Aviation and Viasat as rivals, investing in LEO (Galileo) and 5G to remain competitive [2]. Recognition of the Starlink threat is part of the strategic narrative.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2024 Satcom Direct acquisition was an existential pivot from a pure ATG operator to a hybrid ATG/LEO/5G global connectivity provider — a meaningful repositioning in response to LEO disruption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Cutting strategic spend and CapEx in 2026 demonstrates capital discipline but is also a defensive move [1]. The leveraged Satcom Direct deal was a bold bet, but execution risk and cultural friction temper the courage narrative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Gogo is executing a high-stakes transformation from a pure North American ATG provider into a global business-aviation connectivity platform following the Satcom Direct acquisition. Full-year 2025 revenue doubled to $910.5M and Q4 revenue grew 67% YoY to $230.6M, with adjusted EBITDA up 53% to $217.8M and free cash flow more than doubling to $89.2M [1]. 2026 guidance calls for $905M-$945M revenue, $198M-$218M adjusted EBITDA, and $90M-$110M FCF, with 1,000+ Galileo/5G unit shipments expected to build the installed base toward ~700 Galileo aircraft by year-end [1]. At 5.85x forward P/E, Gogo is priced for skepticism — if management executes the LEO rollout and converts shipments into recurring service revenue, there is meaningful upside as the debt deleverages.</w:t>
      </w:r>
    </w:p>
    <w:p>
      <w:pPr>
        <w:spacing w:after="120"/>
      </w:pPr>
      <w:r>
        <w:rPr>
          <w:rFonts w:ascii="Calibri" w:hAnsi="Calibri"/>
          <w:b w:val="0"/>
          <w:color w:val="3A4A28"/>
          <w:sz w:val="20"/>
        </w:rPr>
        <w:t>The bear case is substantial. Debt-to-equity of 895.7% leaves very little margin for execution missteps, and a single missed deployment year could trigger covenant stress [4]. Starlink Aviation is arming business jets with LEO connectivity that bypasses Gogo's ATG network — a direct existential threat to the legacy service revenue base [2]. Glassdoor reviews citing that CEO Chris Moore's profitability-first vision has 'worsened the work culture' raise retention risk during a critical integration year [2]. The Q4 2025 EPS miss ($0.09 below consensus) shows that the operational story is still noisy [1]. An ISS Compensation QualityScore of 10 (worst possible) and Audit score of 9 signal governance concerns [3]. With trailing P/E of 52x and thin 1.4% profit margins, Gogo is priced for perfect execution — and the evidence so far is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Galileo HDX/FDX LEO + 5G product ramp in 2026 — 1,000+ unit shipments and ~700 Galileo aircraft installed base creating high-margin recurring service revenue [1]</w:t>
      </w:r>
    </w:p>
    <w:p>
      <w:pPr>
        <w:spacing w:before="40" w:after="40"/>
        <w:ind w:left="283"/>
      </w:pPr>
      <w:r>
        <w:rPr>
          <w:rFonts w:ascii="Calibri" w:hAnsi="Calibri"/>
          <w:b/>
          <w:color w:val="4A6B25"/>
          <w:sz w:val="20"/>
        </w:rPr>
        <w:t xml:space="preserve">2. </w:t>
      </w:r>
      <w:r>
        <w:rPr>
          <w:rFonts w:ascii="Calibri" w:hAnsi="Calibri"/>
          <w:b w:val="0"/>
          <w:color w:val="3A4A28"/>
          <w:sz w:val="20"/>
        </w:rPr>
        <w:t>Free cash flow guidance of $90M-$110M in 2026 with declining CapEx, accelerating debt paydown from current ~9x leverage [1]</w:t>
      </w:r>
    </w:p>
    <w:p>
      <w:pPr>
        <w:spacing w:before="40" w:after="40"/>
        <w:ind w:left="283"/>
      </w:pPr>
      <w:r>
        <w:rPr>
          <w:rFonts w:ascii="Calibri" w:hAnsi="Calibri"/>
          <w:b/>
          <w:color w:val="4A6B25"/>
          <w:sz w:val="20"/>
        </w:rPr>
        <w:t xml:space="preserve">3. </w:t>
      </w:r>
      <w:r>
        <w:rPr>
          <w:rFonts w:ascii="Calibri" w:hAnsi="Calibri"/>
          <w:b w:val="0"/>
          <w:color w:val="3A4A28"/>
          <w:sz w:val="20"/>
        </w:rPr>
        <w:t>Satcom Direct integration synergies unlocking international expansion in Europe, Middle East, and Asia business aviation markets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Starlink Aviation competitive threat — LEO-direct service bypasses Gogo ATG network and could erode the legacy service revenue base [2]</w:t>
      </w:r>
    </w:p>
    <w:p>
      <w:pPr>
        <w:spacing w:before="40" w:after="40"/>
        <w:ind w:left="283"/>
      </w:pPr>
      <w:r>
        <w:rPr>
          <w:rFonts w:ascii="Calibri" w:hAnsi="Calibri"/>
          <w:b/>
          <w:color w:val="4A6B25"/>
          <w:sz w:val="20"/>
        </w:rPr>
        <w:t xml:space="preserve">2. </w:t>
      </w:r>
      <w:r>
        <w:rPr>
          <w:rFonts w:ascii="Calibri" w:hAnsi="Calibri"/>
          <w:b w:val="0"/>
          <w:color w:val="3A4A28"/>
          <w:sz w:val="20"/>
        </w:rPr>
        <w:t>Extreme leverage (D/E 895.7%) with thin 1.4% profit margin leaves little buffer for execution missteps or macro downturn in business jet demand [4]</w:t>
      </w:r>
    </w:p>
    <w:p>
      <w:pPr>
        <w:spacing w:before="40" w:after="40"/>
        <w:ind w:left="283"/>
      </w:pPr>
      <w:r>
        <w:rPr>
          <w:rFonts w:ascii="Calibri" w:hAnsi="Calibri"/>
          <w:b/>
          <w:color w:val="4A6B25"/>
          <w:sz w:val="20"/>
        </w:rPr>
        <w:t xml:space="preserve">3. </w:t>
      </w:r>
      <w:r>
        <w:rPr>
          <w:rFonts w:ascii="Calibri" w:hAnsi="Calibri"/>
          <w:b w:val="0"/>
          <w:color w:val="3A4A28"/>
          <w:sz w:val="20"/>
        </w:rPr>
        <w:t>Cultural/retention risk — Glassdoor reviews citing CEO profitability focus 'worsened culture' creates talent flight risk during critical integration year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Gogo provides in-flight connectivity infrastructure — a pick-and-shovel layer that benefits as AI-driven cabin applications (video conferencing, real-time data, generative AI copilots for executives) drive bandwidth demand [2]. The ATG + LEO hybrid network is hard to replicate, and switching costs for installed aircraft are significant, providing moat protection. However, Starlink/SpaceX competition in business aviation is an existential threat: Starlink Aviation can bypass Gogo's ATG network and directly serve the same jets [2]. AI Opportunity (1/1): Increased cabin bandwidth demand from AI apps is a secular tailwind for any connectivity provider, including Gogo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Gogo Q4 2025 and Full-Year 2025 Earnings Release and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Gogo Inc. leadership (CEO Chris Moore) and Glassdoor employee reviews,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ISS Governance QualityScore for Gogo Inc., April 1,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GOGO, retrieved April 15,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