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GOOG</w:t>
      </w:r>
      <w:r>
        <w:rPr>
          <w:rFonts w:ascii="Calibri" w:hAnsi="Calibri"/>
          <w:b/>
          <w:color w:val="1A2010"/>
          <w:sz w:val="40"/>
        </w:rPr>
        <w:t xml:space="preserve">  Alphabet Inc.</w:t>
      </w:r>
    </w:p>
    <w:p>
      <w:pPr>
        <w:spacing w:after="120"/>
      </w:pPr>
      <w:r>
        <w:rPr>
          <w:rFonts w:ascii="Calibri" w:hAnsi="Calibri"/>
          <w:b/>
          <w:color w:val="6E8450"/>
          <w:sz w:val="18"/>
        </w:rPr>
        <w:t>GROWTH SLEEVE · 2026-03-24 · Inspire: -93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Alphabet Inc. is the parent company of Google, operating the world's dominant search engine, YouTube, Google Cloud, and a portfolio of 'Other Bets' including Waymo and DeepMind. Google Search and YouTube generate the bulk of revenue through digital advertising, while Google Cloud grew 48% to $17.7B in Q4 2025, reaching an annual run rate over $70B. Annual revenues exceeded $400B for the first time in 2025, with net income of $132B.</w:t>
      </w:r>
    </w:p>
    <w:p>
      <w:r>
        <w:rPr>
          <w:rFonts w:ascii="Calibri" w:hAnsi="Calibri"/>
          <w:b/>
          <w:color w:val="6E8450"/>
          <w:sz w:val="18"/>
        </w:rPr>
        <w:t>181,000 Employees · https://abc.xyz</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Alphabet has made multiple transformative pivots in 5 years — Search AI (AI Overviews reaching billions), Gemini 3 launch driving 750M+ monthly active users, Google Cloud reaching $240B backlog (up 55% sequentially), and Waymo scaling commercial robotaxi operations [1]. AI deployment is measurably generating revenue: Google Cloud grew 48% YoY to $17.7B in Q4 2025, with Cloud backlog doubling year-over-year [1]. Alphabet is deploying $175–185B in 2026 capex — the largest AI infrastructure investment in history — to build AI compute capacity, demonstrating extreme pipeline visibility with specific, named milestones [2]. R&amp;D spending is among the highest in the world by absolute dollar and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Google's mission — 'to organize the world's information and make it universally accessible and useful' — is specific, distinctive, and has been validated by 25+ years of strategic consistency [3]. CEO Sundar Pichai, entering his 11th year leading Google, has articulated a clear vision of AI as 'the most profound technology humanity is ever working on,' connecting the company's work to transformative social benefit [2]. The company's Project Kuiper-equivalent AI initiatives, 325M+ paid subscriptions, and $160B annual operating cash flow evidence execution. However, net insider buying is limited, and Alphabet's past discrimination lawsuits and privacy controversies reduce the inspiration score.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Alphabet operates with a D/E of 16%, ROE of 35.7%, net profit margin of 32.8%, and $120.8B in cash against minimal debt — a near-perfect balance sheet [3]. Revenue grew 18% YoY in Q4 2025 to $113.8B, with 5-year CAGR well above 10% [1]. Forward P/E of ~26x exceeds the IOWN 20x target, moderating the infrastructure score. Net income grew 30% YoY and operating cash flow reached a record $160.5B for the full year 2025 [1]. The PEG ratio of 1.7x reflects strong but fairly priced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Alphabet exemplifies infinite game thinking through its 25-year consistent pursuit of organizing the world's information, its willingness to fund deep-science moonshots through Other Bets (Waymo, DeepMind), and its CEO's explicit acknowledgment that Alphabet must plan for generational, not quarterly, horizons. Pichai's candid public statements about AI's societal disruption — including that his own CEO job will eventually be replaceable — demonstrate rare courage to lead toward an honest future.</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Google's mission to 'organize the world's information and make it universally accessible and useful' has been the company's strategic anchor for 25+ years, surviving leadership transitions, regulatory battles, and multiple technology paradigm shifts. Strategic decisions from Search to YouTube to Waymo to DeepMind all trace directly back to this cause — it is not marketing, it is the competitive advantage.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Alphabet has historically been known as a high-trust, high-autonomy environment, but recent waves of AI-driven restructuring, the discontinuation of multiple products, and employee protests over government contracts have strained the Circle of Safety. Glassdoor ratings remain above average for the tech sector, but the culture of the early-Google era has been partially displaced by operational scale.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Pichai explicitly references Microsoft, OpenAI, Anthropic, and Meta as competitive forces that sharpen Alphabet's focus, and his public statements consistently frame competition as motivation to 'maintain a relentless innovation cadence' rather than to destroy rivals. The company's $175–185B capex commitment signals it competes to improve, not merely to win.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Alphabet has demonstrated transformative flexibility multiple times: Google pivoted from a search engine to an AI-first company through its $30B+ DeepMind and AI research investments; YouTube became the dominant video platform; Google Cloud went from zero to $70B ARR; and Waymo is on the cusp of commercializing autonomous driving. These are genuine existential pivots, not incremental extensions.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Committing $175–185B in 2026 capex — causing a single-day post-earnings stock drop despite record results — is an act of real financial courage [2]. However, Alphabet's ongoing legal battles over antitrust and privacy suggest a tendency to defend entrenched positions rather than proactively embrace structural change in its core advertising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Alphabet is compounding at an exceptional rate: Q4 2025 revenue grew 18% to $113.8B, net income grew 30% to $34.5B, and Google Cloud is now at $70B ARR growing 48% YoY with a $240B backlog [1]. The company's Gemini AI platform has 750M+ MAUs, serving over 10B tokens per minute at costs that dropped 78% during 2025 — demonstrating both scale and efficiency gains [1]. With $120.8B in net cash, 35.7% ROE, and 32.8% profit margins, Alphabet has one of the strongest financial profiles in corporate history. The $175–185B 2026 capex commitment is building moats that will compound for a decade.</w:t>
      </w:r>
    </w:p>
    <w:p>
      <w:pPr>
        <w:spacing w:after="120"/>
      </w:pPr>
      <w:r>
        <w:rPr>
          <w:rFonts w:ascii="Calibri" w:hAnsi="Calibri"/>
          <w:b w:val="0"/>
          <w:color w:val="3A4A28"/>
          <w:sz w:val="20"/>
        </w:rPr>
        <w:t>The primary bear risk is regulatory: the DOJ antitrust suit targeting Google's digital advertising monopoly, ongoing EU scrutiny, and potential forced divestiture of Chrome or Android could structurally impair the Search-to-AdSense flywheel that generates ~80% of revenue [3]. The faith alignment score of -93 (MISALIGNED) reflects deep concerns about content policies including abortion activism, exploitation, and sexually explicit material — IOWN investors with faith-based screens should carefully weigh this. Additionally, the $175–185B 2026 capex far exceeds 2025's $91.4B, and if AI demand disappoints, these investments could create severe margin compression and return disappointment similar to the Metaverse capex overhang at Meta.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Google Cloud backlog of $240B (up 55% sequentially) converting to revenue over 12-24 months — represents a visible, contracted revenue bridge through 2027 at 48% growth rates [1]</w:t>
      </w:r>
    </w:p>
    <w:p>
      <w:pPr>
        <w:spacing w:before="40" w:after="40"/>
        <w:ind w:left="283"/>
      </w:pPr>
      <w:r>
        <w:rPr>
          <w:rFonts w:ascii="Calibri" w:hAnsi="Calibri"/>
          <w:b/>
          <w:color w:val="4A6B25"/>
          <w:sz w:val="20"/>
        </w:rPr>
        <w:t xml:space="preserve">2. </w:t>
      </w:r>
      <w:r>
        <w:rPr>
          <w:rFonts w:ascii="Calibri" w:hAnsi="Calibri"/>
          <w:b w:val="0"/>
          <w:color w:val="3A4A28"/>
          <w:sz w:val="20"/>
        </w:rPr>
        <w:t>Gemini 3 and next-generation AI models driving further Search monetization and cloud customer adoption — MAUs up from 650M to 750M in a single quarter [1]</w:t>
      </w:r>
    </w:p>
    <w:p>
      <w:pPr>
        <w:spacing w:before="40" w:after="40"/>
        <w:ind w:left="283"/>
      </w:pPr>
      <w:r>
        <w:rPr>
          <w:rFonts w:ascii="Calibri" w:hAnsi="Calibri"/>
          <w:b/>
          <w:color w:val="4A6B25"/>
          <w:sz w:val="20"/>
        </w:rPr>
        <w:t xml:space="preserve">3. </w:t>
      </w:r>
      <w:r>
        <w:rPr>
          <w:rFonts w:ascii="Calibri" w:hAnsi="Calibri"/>
          <w:b w:val="0"/>
          <w:color w:val="3A4A28"/>
          <w:sz w:val="20"/>
        </w:rPr>
        <w:t>Waymo commercial expansion: the autonomous vehicle division is the most advanced robotaxi operation globally and represents a potentially trillion-dollar monetization opportunity if scaled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DOJ antitrust ruling requiring structural remedies to Google Search or advertising technology — potential loss of default search agreements with Apple ($15–20B annually) would directly compress the 80% of revenue from advertising [3]</w:t>
      </w:r>
    </w:p>
    <w:p>
      <w:pPr>
        <w:spacing w:before="40" w:after="40"/>
        <w:ind w:left="283"/>
      </w:pPr>
      <w:r>
        <w:rPr>
          <w:rFonts w:ascii="Calibri" w:hAnsi="Calibri"/>
          <w:b/>
          <w:color w:val="4A6B25"/>
          <w:sz w:val="20"/>
        </w:rPr>
        <w:t xml:space="preserve">2. </w:t>
      </w:r>
      <w:r>
        <w:rPr>
          <w:rFonts w:ascii="Calibri" w:hAnsi="Calibri"/>
          <w:b w:val="0"/>
          <w:color w:val="3A4A28"/>
          <w:sz w:val="20"/>
        </w:rPr>
        <w:t>$175–185B 2026 capex creates significant free cash flow compression — if cloud or AI demand disappoints, this becomes a $100B+ error that could cause multi-year margin contraction [2]</w:t>
      </w:r>
    </w:p>
    <w:p>
      <w:pPr>
        <w:spacing w:before="40" w:after="40"/>
        <w:ind w:left="283"/>
      </w:pPr>
      <w:r>
        <w:rPr>
          <w:rFonts w:ascii="Calibri" w:hAnsi="Calibri"/>
          <w:b/>
          <w:color w:val="4A6B25"/>
          <w:sz w:val="20"/>
        </w:rPr>
        <w:t xml:space="preserve">3. </w:t>
      </w:r>
      <w:r>
        <w:rPr>
          <w:rFonts w:ascii="Calibri" w:hAnsi="Calibri"/>
          <w:b w:val="0"/>
          <w:color w:val="3A4A28"/>
          <w:sz w:val="20"/>
        </w:rPr>
        <w:t>AI-driven search disruption from ChatGPT, Perplexity, and Claude reduces click-through rates on Google Search — early data shows AI Overviews are cannibalizing some high-intent queries that historically generated the highest ad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Alphabet IS AI — its DeepMind division created AlphaFold and Gemini, Google Cloud's AI Infrastructure generates $70B+ in annual run rate revenue, and the company is spending $175–185B in 2026 to expand AI compute capacity [2]. Analysts unanimously identify Alphabet as AI infrastructure, not an AI disruption target. Gemini serving costs dropped 78% during 2025 while first-party models process 10B+ tokens per minute — Alphabet is the picks-and-shovels provider for the entire AI economy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-93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Exploitation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Alphabet Q4 2025 Earnings Release, February 4, 2026</w:t>
      </w:r>
    </w:p>
    <w:p>
      <w:pPr>
        <w:spacing w:before="20" w:after="20"/>
        <w:ind w:left="170"/>
      </w:pPr>
      <w:r>
        <w:rPr>
          <w:rFonts w:ascii="Calibri" w:hAnsi="Calibri"/>
          <w:b/>
          <w:color w:val="4A6B25"/>
          <w:sz w:val="15"/>
        </w:rPr>
        <w:t xml:space="preserve">2. </w:t>
      </w:r>
      <w:r>
        <w:rPr>
          <w:rFonts w:ascii="Calibri" w:hAnsi="Calibri"/>
          <w:b w:val="0"/>
          <w:color w:val="3A4A28"/>
          <w:sz w:val="17"/>
        </w:rPr>
        <w:t>Fortune — Alphabet Plans Record $185 Billion AI Spending, February 4,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GOOG Statistics &amp; Valuation,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