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GORO</w:t>
      </w:r>
      <w:r>
        <w:rPr>
          <w:rFonts w:ascii="Calibri" w:hAnsi="Calibri"/>
          <w:b/>
          <w:color w:val="1A2010"/>
          <w:sz w:val="40"/>
        </w:rPr>
        <w:t xml:space="preserve">  Gold Resource Corporation</w:t>
      </w:r>
    </w:p>
    <w:p>
      <w:pPr>
        <w:spacing w:after="120"/>
      </w:pPr>
      <w:r>
        <w:rPr>
          <w:rFonts w:ascii="Calibri" w:hAnsi="Calibri"/>
          <w:b/>
          <w:color w:val="6E8450"/>
          <w:sz w:val="18"/>
        </w:rPr>
        <w:t>GROWTH SLEEVE · 2026-03-30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United States</w:t>
      </w:r>
    </w:p>
    <w:p>
      <w:pPr>
        <w:spacing w:after="80"/>
      </w:pPr>
      <w:r>
        <w:rPr>
          <w:rFonts w:ascii="Calibri" w:hAnsi="Calibri"/>
          <w:b w:val="0"/>
          <w:color w:val="3A4A28"/>
          <w:sz w:val="20"/>
        </w:rPr>
        <w:t>Gold Resource Corporation is a gold and silver producer, developer, and explorer headquartered in Denver, Colorado. The company operates the Don David Gold Mine in Oaxaca, Mexico, which has pivoted to predominantly silver production (~80% of revenue), and holds 100% interest in the Back Forty polymetallic project in Menominee County, Michigan.</w:t>
      </w:r>
    </w:p>
    <w:p>
      <w:r>
        <w:rPr>
          <w:rFonts w:ascii="Calibri" w:hAnsi="Calibri"/>
          <w:b/>
          <w:color w:val="6E8450"/>
          <w:sz w:val="18"/>
        </w:rPr>
        <w:t>497 Employees · https://www.goldresourcecorp.com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rebounded to $99.8M (up ~296% YoY) as the Don David mine transitioned to silver-dominant production, but the 3-year revenue CAGR remains -24.8% and production had fallen 50% from its 2019 peak before this turnaround [1]. AI Deployment (0/2): No evidence of AI deployment at Gold Resource Corporation; the company is a traditional mining operation with no publicly visible technology innovation strategy [2]. Market Share (1/2): GORO operates a single producing mine in Oaxaca with exploration-stage Back Forty project — minimal market share in the global precious metals space with a $190M market cap [1]. Pipeline (1/2): Three Sisters zone expected to contribute 40-50% of production by 2026 and cut-and-fill mining reduced dilution from 40% to 13-17%, showing operational improvement, but the Back Forty project faces permitting delays and environmental opposition [1][3]. R&amp;D Intensity (0/1): No meaningful R&amp;D investment; the company is focused on mine development and exploration rather than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Gold Resource's mission is generic resource extraction with no differentiated social purpose; the company's sustainability reporting benchmarks against SASB standards but faces material credibility gaps given the Back Forty environmental controversy and labor disputes [3]. Community Impact (1/2): The company employs 497 people (predominantly in Oaxaca, Mexico) and has a lost time injury rate of 2.5 per million hours, well below the Mexican mining benchmark of 5.7, showing genuine worker safety commitment [3]. Employee Retention (0/2): No Glassdoor data available for Gold Resource Corporation specifically; the January 2026 illegal blockade by terminated contractor employees and union faction disputes suggest strained labor relations at the Oaxaca site [3]. Insider Buying (1/2): CEO Allen Palmiere brings 35+ years of mining experience and has stated commitment to operational efficiency, but the company raised $21.3M through dilutive ATM and direct offerings in H1 2025, indicating management is funding operations through shareholder dilution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GORO's financial profile reflects a company in turnaround mode. Revenue of $99.8M is a strong recovery but profit margin is -6.5% with ROE of -18.1%, indicating the company remains unprofitable despite top-line improvement [1]. Cash of $25M with virtually no debt ($49K) provides a clean balance sheet, but the company warned operations may not be possible beyond Q3 2026 if new mining areas are not successfully developed [1]. Operating cash flow of $21.7M is positive but FCF of -$14.1M shows capital expenditure needs exceed operating generation. Forward P/E of 29.4x prices in a turnaround to profitability that is far from assured. The $38.5M capital investment needed for new deposits exceeds current cash reserves [1][3]. Liquidity floor cleared: 6.27M avg vol x $1.175 = $7.4M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Gold Resource Corporation is playing a survival game rather than an infinite game. The operational turnaround at Don David shows determination, but the company's own disclosure that operations may not continue beyond Q3 2026 without successful mine development reveals finite-horizon thinking driven by resource depletion rather than strategic choice.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GORO's cause is resource extraction — mining gold and silver from the earth. There is no aspirational just cause beyond shareholder returns and community employment in Oaxaca. The Back Forty project faces opposition from the Menominee Tribe who consider the area sacred ancestral land, creating a direct conflict between the company's purpose and indigenous community values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January 2026 illegal blockade at Don David by ~20 terminated contractor employees, driven by union faction disputes (CTM union), reveals labor relations fragility in the Mexican operating environment [3]. However, the company's 2.5 lost time injury rate (vs. 5.7 benchmark) suggests genuine investment in worker safety. CEO Palmiere's 35-year mining career brings credibility to the small 497-person team [2][3].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GORO competes against vastly larger gold and silver producers — Newmont, Barrick, First Majestic Silver — with far greater scale, technology, and financial resources. The company's $190M market cap and single-mine operation offer no competitive advantages beyond the specific geology of the Don David deposit and the optionality of Back Forty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gold-dominant to silver-dominant production (80% of revenue) at Don David demonstrates adaptation to changing deposit characteristics and commodity prices [1]. The Three Sisters zone development and cut-and-fill mining innovation (reducing dilution from 40% to 13-17%) show operational flexibility. However, the company's existence depends on a single mine with depleting high-grade zones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Palmiere has been transparent about the company's challenges, including the warning that operations may not be possible beyond Q3 2026 without successful mine development [1]. The decision to maintain neutrality during the Oaxaca blockade showed restraint. However, the continued pursuit of the controversial Back Forty project despite indigenous opposition and environmental concerns raises questions about the quality of leadership courage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 Resource Corporation is a speculative turnaround play benefiting from the precious metals bull market. Revenue rebounded to $99.8M as the Don David mine pivoted to silver-dominant production (80% of revenue), with operating cash flow of $21.7M and virtually no debt on the balance sheet [1]. The Three Sisters zone is expected to contribute 40-50% of production by 2026, and improved mining methods have reduced dilution from 40% to 13-17%, potentially unlocking higher-grade ore [1]. H.C. Wainwright raised its price target to $2 (70% upside) citing favorable commodity price trends, and with gold near all-time highs and silver surging, the macro backdrop is supportive [1].</w:t>
      </w:r>
    </w:p>
    <w:p>
      <w:pPr>
        <w:spacing w:after="120"/>
      </w:pPr>
      <w:r>
        <w:rPr>
          <w:rFonts w:ascii="Calibri" w:hAnsi="Calibri"/>
          <w:b w:val="0"/>
          <w:color w:val="3A4A28"/>
          <w:sz w:val="20"/>
        </w:rPr>
        <w:t>The bear case is severe. GORO's own management warned that continued operations may not be possible beyond Q3 2026 if new mining areas are not successfully developed — this is an existential going concern risk [1]. The company remains unprofitable with -6.5% profit margins and -18.1% ROE despite the revenue recovery, and the $38.5M capital investment needed for new deposits exceeds the $25M cash reserve [1]. The Back Forty project in Michigan faces intense environmental opposition from the Coalition to Save the Menominee River, indigenous community resistance from the Menominee Tribe, and an overturned wetlands permit after data manipulation was revealed during contested hearings [3]. Labor relations risk at the Oaxaca mine was demonstrated by the January 2026 blockade. With a $190M market cap, negative FCF of -$14.1M, and a history of dilutive capital raises, GORO is a high-risk speculation that requires both operational execution and commodity price cooperation to survive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Sisters zone contributing 40-50% of total Don David production by 2026, with reduced dilution (13-17% vs. prior 40%+) unlocking higher-grade ore [1]</w:t>
      </w:r>
    </w:p>
    <w:p>
      <w:pPr>
        <w:spacing w:before="40" w:after="40"/>
        <w:ind w:left="283"/>
      </w:pPr>
      <w:r>
        <w:rPr>
          <w:rFonts w:ascii="Calibri" w:hAnsi="Calibri"/>
          <w:b/>
          <w:color w:val="4A6B25"/>
          <w:sz w:val="20"/>
        </w:rPr>
        <w:t xml:space="preserve">2. </w:t>
      </w:r>
      <w:r>
        <w:rPr>
          <w:rFonts w:ascii="Calibri" w:hAnsi="Calibri"/>
          <w:b w:val="0"/>
          <w:color w:val="3A4A28"/>
          <w:sz w:val="20"/>
        </w:rPr>
        <w:t>Precious metals bull market — gold near all-time highs and silver surging support revenue growth for a company deriving 80% of revenue from silver [1]</w:t>
      </w:r>
    </w:p>
    <w:p>
      <w:pPr>
        <w:spacing w:before="40" w:after="40"/>
        <w:ind w:left="283"/>
      </w:pPr>
      <w:r>
        <w:rPr>
          <w:rFonts w:ascii="Calibri" w:hAnsi="Calibri"/>
          <w:b/>
          <w:color w:val="4A6B25"/>
          <w:sz w:val="20"/>
        </w:rPr>
        <w:t xml:space="preserve">3. </w:t>
      </w:r>
      <w:r>
        <w:rPr>
          <w:rFonts w:ascii="Calibri" w:hAnsi="Calibri"/>
          <w:b w:val="0"/>
          <w:color w:val="3A4A28"/>
          <w:sz w:val="20"/>
        </w:rPr>
        <w:t>H.C. Wainwright $2 price target (70% upside) reflecting favorable commodity price environment and operational turnaround progress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management disclosed operations may not continue beyond Q3 2026 if new mining areas are not successfully developed [1]</w:t>
      </w:r>
    </w:p>
    <w:p>
      <w:pPr>
        <w:spacing w:before="40" w:after="40"/>
        <w:ind w:left="283"/>
      </w:pPr>
      <w:r>
        <w:rPr>
          <w:rFonts w:ascii="Calibri" w:hAnsi="Calibri"/>
          <w:b/>
          <w:color w:val="4A6B25"/>
          <w:sz w:val="20"/>
        </w:rPr>
        <w:t xml:space="preserve">2. </w:t>
      </w:r>
      <w:r>
        <w:rPr>
          <w:rFonts w:ascii="Calibri" w:hAnsi="Calibri"/>
          <w:b w:val="0"/>
          <w:color w:val="3A4A28"/>
          <w:sz w:val="20"/>
        </w:rPr>
        <w:t>Back Forty permitting and environmental opposition — overturned wetlands permit, Menominee Tribe opposition, and Coalition to Save the Menominee River advocacy create material development risk [3]</w:t>
      </w:r>
    </w:p>
    <w:p>
      <w:pPr>
        <w:spacing w:before="40" w:after="40"/>
        <w:ind w:left="283"/>
      </w:pPr>
      <w:r>
        <w:rPr>
          <w:rFonts w:ascii="Calibri" w:hAnsi="Calibri"/>
          <w:b/>
          <w:color w:val="4A6B25"/>
          <w:sz w:val="20"/>
        </w:rPr>
        <w:t xml:space="preserve">3. </w:t>
      </w:r>
      <w:r>
        <w:rPr>
          <w:rFonts w:ascii="Calibri" w:hAnsi="Calibri"/>
          <w:b w:val="0"/>
          <w:color w:val="3A4A28"/>
          <w:sz w:val="20"/>
        </w:rPr>
        <w:t>Capital requirements exceed cash — $38.5M needed for new deposits vs. $25M cash, likely requiring further dilutive equity raises that have historically eroded shareholder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Gold and silver mining is one of the least AI-disrupted industries — physical extraction of precious metals cannot be automated away by software, and gold/silver serve as inflation hedges that may benefit from AI-driven economic uncertainty [2]. However, AI-enabled exploration tools used by larger miners (e.g., Goldspot Discoveries) could identify deposits faster and cheaper than GORO's traditional methods, creating a competitive disadvantage for a company with no AI strategy. GORO's small scale (497 employees, single producing mine) limits both the benefit and threat of AI disruption [2]. AI Opportunity (1/1): Rising AI infrastructure spending increases demand for gold in electronics and silver in data center components, providing a modest tailwind to precious metals prices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 Resource Corporation 2025 Financial Results and Business Update — $99.8M revenue, $25M cash, Three Sisters production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Gold Resource Corporation Leadership and Operational Updates — CEO Palmiere, AI/technology context, Yahoo Finance,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Coalition to Save the Menominee River / BusinessWire — Back Forty environmental controversy, Don David blockade, ESG reporting,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GORO (Gold Resource Corporation),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