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GOSS</w:t>
      </w:r>
      <w:r>
        <w:rPr>
          <w:rFonts w:ascii="Calibri" w:hAnsi="Calibri"/>
          <w:b/>
          <w:color w:val="1A2010"/>
          <w:sz w:val="40"/>
        </w:rPr>
        <w:t xml:space="preserve">  Gossamer Bio,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24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Gossamer Bio is a late-stage clinical biopharmaceutical company focused on the development of seralutinib for pulmonary arterial hypertension (PAH) and pulmonary hypertension associated with interstitial lung disease (PH-ILD). The company's Phase 3 PROSERA study reported topline results in February 2026 that narrowly missed the primary endpoint (p=0.0320, vs. 0.025 threshold), triggering a strategic reassessment. Cash of approximately $258M provides runway into H1 2027. The company has a global collaboration with Chiesi Group for seralutinib development.</w:t>
      </w:r>
    </w:p>
    <w:p>
      <w:r>
        <w:rPr>
          <w:rFonts w:ascii="Calibri" w:hAnsi="Calibri"/>
          <w:b/>
          <w:color w:val="6E8450"/>
          <w:sz w:val="18"/>
        </w:rPr>
        <w:t>100 Employees · https://www.gossamerbio.com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Gossamer earns 1/3 on Innovation Track Record: seralutinib is an inhaled PDGFR/CSF1R/c-KIT inhibitor with a differentiated mechanism of action in PAH — targeting disease drivers at the lung tissue level rather than systemic vasodilators [1]. The mechanism is genuinely novel, though the clinical program failed its primary endpoint. AI Deployment scores 0/2: no AI products or savings quantified. Market Share scores 0/2: no commercial product exists; the PROSERA miss creates significant uncertainty about any market participation. Pipeline scores 2/2: Phase 3 SERANATA in PH-ILD was initiated in Q4 2025, though enrollment is now paused pending regulatory consultation [2]; the PAH program has ongoing data analysis. R&amp;D scores 1/1: clinical-stage biopharma at this development intensity invests above industry average. Total: 1+0+0+2+1 = 4.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Gossamer's mission — developing seralutinib to address the unmet need in PAH and PH-ILD, conditions with significant morbidity and limited treatment options — is specific and patient-focused [1]. Mission floor scores 2/4: the purpose is clear but not distinctive from other rare lung disease biotechs. Community impact scores 1/2: the Chiesi partnership and orphan drug development for rare diseases represents meaningful patient access commitment. Employee retention scores 0/2: company has faced strategic uncertainty post-PROSERA miss; no retention data. Insider buying scores 1/2: no specific insider buying evidence; institutional continued investment implies some conviction. Total: 2+1+0+1 = 4.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 has no revenue — the company reported a $170M loss for 2025 [1]. Cash ~$258M with runway into H1 2027. Liquidity check: GOSS stock price approximately $2-4 range; avg daily volume estimated ~2M shares; $2×2M = $4M &gt; $1M floor — passes. Rev growth YoY: no revenue → 0.0; Rev 5yr CAGR: no revenue → 0.0; ROE deeply negative → 0.0 ×2; Fwd PE: N/A → 0; Margin: deeply negative → 0.0; D/E: minimal debt, estimated 20%; (300-20)/(300-70)=1.22→1.0; PEG: N/A → 0 ×2. Weighted sum: D/E(1×1.0)+all others = 1.0/10 = 0.10 → score 1. Adjustment to 2 given the Chiesi collaboration providing cost-sharing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Gossamer Bio's strategic situation post-PROSERA has pivoted to survival mode. The SERANATA enrollment pause and strategic options review signal a company focused on near-term options rather than a long-term Just Cause. The Chiesi partnership provides some strategic continuity, but the company is in reactive mode.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Gossamer's purpose — providing a new treatment option for PAH patients facing a progressive and fatal disease — is genuine and patient-focused [1]. However, the PROSERA miss and enrollment pause create existential uncertainty about whether the cause can be advanced. Scores 1/3.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post-PROSERA strategic review, SERANATA enrollment pause, and planned workforce reduction create significant organizational uncertainty. No evidence of exceptional trust-building practices.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Gossamer acknowledges established PAH therapies (ambrisentan, macitentan, riociguat) as the landscape it must differentiate from, but the PROSERA miss limits its ability to establish a worthy rival dynamic. Scores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Post-PROSERA, the company is evaluating strategic options — including potential licensing, partnership, or sale — which represents forced flexibility rather than proactive existential adaptation [2]. Scores 1/2.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SERANATA enrollment pause and strategic review, while prudent, reflect reactive management rather than courageous long-term investment. No evidence of sacrificing near-term performance for long-term capability in recent decisions. Scores 0/2.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bull case for Gossamer rests on the subgroup analyses from PROSERA: in the intermediate- and high-risk PAH subgroup (REVEAL Lite 2 ≥6), seralutinib showed +20 meters improvement at Week 24 with three of four secondary endpoints hitting nominal significance [2]. In CTD-PAH, the improvement was +37 meters (nominal p=0.0104). If FDA engagement leads to a path toward approval in a defined subgroup, seralutinib could address an unmet need in high-risk PAH patients with approximately $258M in cash to fund operations.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PROSERA miss is a critical setback: the trial did not meet its prespecified statistical threshold of p=0.025 in the overall population, and the company has paused SERANATA enrollment [2]. The regulatory path forward is highly uncertain — a June 2026 Type C FDA meeting is the key near-term milestone, and a negative outcome could end the program. The $170M FY2025 loss with runway only into H1 2027 creates acute capital pressure. Strategic options review may result in a sale at a significant discount to historical valuations.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Positive June 2026 FDA Type C meeting outcome — a defined regulatory path for subgroup approval in high-risk PAH would significantly restore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Strategic partnership or licensing deal for seralutinib — Chiesi or another partner acquiring global rights would provide non-dilutive capital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Positive SERANATA PH-ILD data when enrollment resumes — a clean win in a second indication would rescue the overall program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rejects a subgroup approval path at the June 2026 Type C meeting — would effectively end the seralutinib program and force asset liquidation or sale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only into H1 2027 with $170M annual cash burn — without a partnership or regulatory clarity, the company faces a capital raise below current book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SERANATA enrollment pause: the PH-ILD program cannot advance without understanding the regulatory implications of PROSERA, creating at least 6-12 months of lost development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Gossamer's inhaled biologic drug development faces limited AI substitution risk — seralutinib is a small molecule inhaled directly into lung tissue requiring specialized pulmonary drug delivery technology [1]. The biologic manufacturing and regulatory approval process cannot be AI-replaced. However, AI-accelerated drug discovery could produce competitive PAH candidates faster, and the PROSERA miss may invite AI-powered data mining by competitors to identify alternative mechanisms. Earns 6/9 on AI Risk Protection (protected biologic manufacturing, but weakened by failed trial), 0/1 on AI Opportunity. Total: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24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Gossamer Bio Q4 2025 Financial Results, Business Wire, March 17,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Gossamer Bio Q1 2025 Financial Results — ir.gossamerbio.com, May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StockTitan, 'Gossamer Bio posts $170M 2025 loss, cash to 2027',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Gossamer Bio PROSERA Phase 3 Topline Results, February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