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GPCR</w:t>
      </w:r>
      <w:r>
        <w:rPr>
          <w:rFonts w:ascii="Calibri" w:hAnsi="Calibri"/>
          <w:b/>
          <w:color w:val="1A2010"/>
          <w:sz w:val="40"/>
        </w:rPr>
        <w:t xml:space="preserve">  Structure Therapeutics Inc.</w:t>
      </w:r>
    </w:p>
    <w:p>
      <w:pPr>
        <w:spacing w:after="120"/>
      </w:pPr>
      <w:r>
        <w:rPr>
          <w:rFonts w:ascii="Calibri" w:hAnsi="Calibri"/>
          <w:b/>
          <w:color w:val="6E8450"/>
          <w:sz w:val="18"/>
        </w:rPr>
        <w:t>GROWTH SLEEVE · 2026-05-04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Structure Therapeutics is a clinical-stage biopharmaceutical company focused on discovering and developing oral small molecule therapeutics for chronic metabolic and cardiopulmonary diseases. Its lead candidate aleniglipron (GSBR-1290) is an oral GLP-1 receptor agonist in Phase 2b/3 development for obesity, with a pipeline targeting amylin, APJ, and LPA1 receptors using its proprietary GPCR-targeted drug discovery platform.</w:t>
      </w:r>
    </w:p>
    <w:p>
      <w:r>
        <w:rPr>
          <w:rFonts w:ascii="Calibri" w:hAnsi="Calibri"/>
          <w:b/>
          <w:color w:val="6E8450"/>
          <w:sz w:val="18"/>
        </w:rPr>
        <w:t>220 Employees · https://structuretx.com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Structure Therapeutics has advanced aleniglipron from discovery to Phase 2b in under 4 years, delivering clinically meaningful results — 11.3% placebo-adjusted weight loss at 120mg and up to 15.3% at 240mg at 36 weeks with no weight loss plateau, positioning it as potentially best-in-class among oral small molecule GLP-1s [1]. The company also initiated Phase 1 for ACCG-2671 (oral amylin agonist), demonstrating pipeline execution. AI Deployment (1/2): Structure uses its proprietary structure-based drug discovery platform leveraging computational methods to identify and optimize GPCR-targeted small molecules, representing AI-adjacent drug discovery innovation that has produced multiple pipeline candidates [2]. Market Share (2/2): Structure is a category-defining leader in oral small molecule GLP-1 agonists, differentiated from peptide-based competitors (Novo Nordisk, Eli Lilly) by offering a pill format with potentially fewer GI side effects and lower manufacturing costs [1]. Pipeline (2/2): Specific next-gen programs include ACCG-2671 and ACCG-3535 (oral amylin agonists in Phase 1), ANPA-0073 (APJ agonist), LTSE-2578 (LPA1 antagonist for IPF), plus GIP and glucagon receptor modulators with combination potential [2]. Phase 3 for aleniglipron expected H2 2026. R&amp;D Intensity (0/1): All spending is R&amp;D for a pre-revenue biotech, but this is standard for clinical-stage companies rather than exceeding peer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Structure Therapeutics' mission to transform chronic disease treatment through innovative oral small molecule therapeutics reflects genuine intentionality — the company was founded on the insight that GPCR-targeted oral drugs could democratize access to treatments currently limited to injectable peptides [2]. This is specific, differentiated, and validated by clinical execution. Community Impact (1/2): As a clinical-stage company with 220 employees, Structure's direct community impact is limited, though the potential to provide affordable oral obesity treatments versus expensive injectable GLP-1s (Ozempic, Mounjaro) would represent significant healthcare access improvement if commercialized [1]. Employee Retention (1/2): The company has attracted high-caliber leadership, including COO Matthew Lang (who guided Metsera through Pfizer's $10B acquisition) and promoted Blai Coll, M.D., Ph.D. to CMO as part of a planned succession, suggesting organizational stability [2]. Insider Buying (0/2): No specific insider buying data found beyond standard executive compensation grants.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Structure Therapeutics is a pre-revenue clinical-stage biotech with $1.4B cash runway through 2028, providing financial stability for Phase 3 development [1]. D/E of 0.4% reflects virtually zero debt ($6.5M total debt) — exceptional balance sheet management for a biotech [3]. However, ROE of -11.9% reflects the company's loss-making status with operating cash burn of -$222M annually [3]. Forward P/E is negative (meaningless for a pre-revenue company), and there are no revenue or profit metrics to evaluate. The $3B market cap rests entirely on pipeline optionality. Liquidity clears easily at $41.1M daily turnover [3]. Most infrastructure metrics are inapplicable for pre-revenue biotechs, limiting the score to available financial health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Structure Therapeutics plays a forward-looking game built on a distinctive scientific thesis — that oral small molecule GPCR modulators can transform chronic disease treatment. The company's platform-driven approach and multi-target pipeline suggest long-term thinking, though as a young company (founded 2016) its staying power through adversity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Structure Therapeutics was founded on a genuine and distinctive cause — democratizing access to chronic disease treatments by replacing expensive injectable peptides with oral small molecule pills [2]. This is specific, patient-centered, and connects clinical execution to a larger vision of healthcare access. CEO Raymond Stevens, Ph.D. has articulated this vision consistently. However, the company is too young (founded 2016) to have proven this cause through multi-decade consistency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220 employees, Structure maintains a small-team environment typical of clinical-stage biotechs. Recent executive hires (COO Matthew Lang from Pfizer/Metsera, CMO Blai Coll via planned succession) demonstrate leadership continuity and ability to attract top talent [2]. The planned CMO succession rather than abrupt replacement suggests organizational health. No evidence of cultural problems, but limited data given company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Structure explicitly positions its oral small molecule approach as complementary to rather than destructive of the injectable GLP-1 market led by Novo Nordisk and Eli Lilly. CEO Stevens has referenced learning from larger competitors' clinical and commercial strategies, and the company's combination approach (GLP-1 + amylin) shows willingness to evolve based on the competitive landscape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Structure Therapeutics is a young company (founded 2016) that has not yet faced an existential strategic pivot. The company's business model has been consistent since founding — GPCR-targeted oral small molecule drug discovery. While the platform's ability to generate multiple targets shows scientific flexibility, the company has not been tested through a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Structure raised $500M in a public offering to fund Phase 3 development, demonstrating willingness to invest heavily in long-term clinical programs despite no near-term revenue [1]. The decision to pursue oral small molecule GLP-1s when the market was dominated by injectable peptides from Novo Nordisk and Eli Lilly required conviction in a contrarian scientific thesis. However, the company has not yet been tested by a situation requiring sacrifice of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Structure Therapeutics is developing potentially best-in-class oral GLP-1 obesity treatments, with lead candidate aleniglipron delivering 11.3% weight loss at 120mg and 15.3% at 240mg at 36 weeks — competitive with injectable GLP-1s but in a convenient pill format [1]. The $150B+ GLP-1 obesity market is projected to grow significantly, and oral formulations could dramatically expand the addressable patient population. With $1.4B cash (runway through 2028) and virtually zero debt (D/E 0.4%), the company is well-funded to execute Phase 3 development expected to begin H2 2026 [1][3]. The multi-target GPCR platform generates pipeline optionality across amylin, APJ, GIP, and glucagon receptors, with synergistic combination potential demonstrated in early data [2]. The hiring of COO Matthew Lang from Pfizer's $10B Metsera acquisition signals institutional credibility.</w:t>
      </w:r>
    </w:p>
    <w:p>
      <w:pPr>
        <w:spacing w:after="120"/>
      </w:pPr>
      <w:r>
        <w:rPr>
          <w:rFonts w:ascii="Calibri" w:hAnsi="Calibri"/>
          <w:b w:val="0"/>
          <w:color w:val="3A4A28"/>
          <w:sz w:val="20"/>
        </w:rPr>
        <w:t>The bear case centers on clinical and competitive risk in a rapidly evolving market. Aleniglipron must demonstrate comparable or superior efficacy and safety versus injectable GLP-1s (Ozempic, Mounjaro) in Phase 3 to justify a $3B pre-revenue valuation — any clinical setback could destroy 50%+ of market cap [1]. Eli Lilly's oral orforglipron and Novo Nordisk's oral semaglutide are competing oral programs from well-resourced pharma giants with existing commercial infrastructure. The company burns $222M annually with zero revenue, and the $1.4B cash position may require additional dilutive fundraising if Phase 3 timelines extend [3]. The stock has fallen over 55% from its 52-week high of $94.90, reflecting market skepticism about the oral GLP-1 competitive landscape. Regulatory risk exists if FDA requirements for Phase 3 are more demanding than expected, and manufacturing scale-up for a novel small molecule presents additional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initiation for aleniglipron expected H2 2026, which would de-risk the program significantly and validate the oral small molecule GLP-1 approach [1]</w:t>
      </w:r>
    </w:p>
    <w:p>
      <w:pPr>
        <w:spacing w:before="40" w:after="40"/>
        <w:ind w:left="283"/>
      </w:pPr>
      <w:r>
        <w:rPr>
          <w:rFonts w:ascii="Calibri" w:hAnsi="Calibri"/>
          <w:b/>
          <w:color w:val="4A6B25"/>
          <w:sz w:val="20"/>
        </w:rPr>
        <w:t xml:space="preserve">2. </w:t>
      </w:r>
      <w:r>
        <w:rPr>
          <w:rFonts w:ascii="Calibri" w:hAnsi="Calibri"/>
          <w:b w:val="0"/>
          <w:color w:val="3A4A28"/>
          <w:sz w:val="20"/>
        </w:rPr>
        <w:t>ACCESS II 44-week topline data expected in early 2026, potentially showing continued weight loss trajectory beyond 15.3% at 240mg dose [1]</w:t>
      </w:r>
    </w:p>
    <w:p>
      <w:pPr>
        <w:spacing w:before="40" w:after="40"/>
        <w:ind w:left="283"/>
      </w:pPr>
      <w:r>
        <w:rPr>
          <w:rFonts w:ascii="Calibri" w:hAnsi="Calibri"/>
          <w:b/>
          <w:color w:val="4A6B25"/>
          <w:sz w:val="20"/>
        </w:rPr>
        <w:t xml:space="preserve">3. </w:t>
      </w:r>
      <w:r>
        <w:rPr>
          <w:rFonts w:ascii="Calibri" w:hAnsi="Calibri"/>
          <w:b w:val="0"/>
          <w:color w:val="3A4A28"/>
          <w:sz w:val="20"/>
        </w:rPr>
        <w:t>ACCG-2671 (oral amylin agonist) Phase 1 data readout, with combination potential alongside aleniglipron for synergistic weight loss demonstrated in early studies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failure risk — aleniglipron must demonstrate non-inferior or superior efficacy vs. injectable GLP-1s to justify commercial viability, with any safety signal potentially derailing the program [1]</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Eli Lilly's oral orforglipron and Novo Nordisk's oral semaglutide, both backed by massive commercial organizations with existing obesity drug franchises [1]</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$222M annually with $3B market cap resting entirely on pipeline optionality — any dilutive financing or clinical delay could compress valuation significantly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Structure Therapeutics' core value proposition — oral small molecule drug development for obesity and metabolic disease — requires physical clinical trials, FDA regulatory approval, and manufacturing infrastructure that AI cannot replace [1]. The GLP-1 obesity market is driven by clinical efficacy data and regulatory clearance, not information processing that AI could displace. AI actually enhances the company's discovery platform by improving computational drug design and GPCR structure prediction. The massive unmet need for oral obesity treatments (vs. injectable GLP-1s) creates demand that is structurally immune to AI disruption. AI Opportunity (1/1): Structure's proprietary structure-based drug discovery platform directly leverages computational and AI methods to identify GPCR-targeted small molecules, contributing to its ability to generate multiple pipeline candidates from a single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Structure Therapeutics Q4/FY2025 Earnings Release — aleniglipron ACCESS Phase 2b data (11.3% at 120mg, 15.3% at 240mg), $1.4B cash runway through 2028, Phase 3 planned H2 2026</w:t>
      </w:r>
    </w:p>
    <w:p>
      <w:pPr>
        <w:spacing w:before="20" w:after="20"/>
        <w:ind w:left="170"/>
      </w:pPr>
      <w:r>
        <w:rPr>
          <w:rFonts w:ascii="Calibri" w:hAnsi="Calibri"/>
          <w:b/>
          <w:color w:val="4A6B25"/>
          <w:sz w:val="15"/>
        </w:rPr>
        <w:t xml:space="preserve">2. </w:t>
      </w:r>
      <w:r>
        <w:rPr>
          <w:rFonts w:ascii="Calibri" w:hAnsi="Calibri"/>
          <w:b w:val="0"/>
          <w:color w:val="3A4A28"/>
          <w:sz w:val="17"/>
        </w:rPr>
        <w:t>CNBC Healthy Returns, Structure Therapeutics Press Releases — CEO Raymond Stevens on oral GLP-1 strategy, executive team appointments (COO Matthew Lang, CMO Blai Coll), pipeline programs,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GPCR (Structure Therapeutics), retrieved May 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