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GPC</w:t>
      </w:r>
      <w:r>
        <w:rPr>
          <w:rFonts w:ascii="Calibri" w:hAnsi="Calibri"/>
          <w:b/>
          <w:color w:val="1A2010"/>
          <w:sz w:val="40"/>
        </w:rPr>
        <w:t xml:space="preserve">  Genuine Parts Company</w:t>
      </w:r>
    </w:p>
    <w:p>
      <w:pPr>
        <w:spacing w:after="120"/>
      </w:pPr>
      <w:r>
        <w:rPr>
          <w:rFonts w:ascii="Calibri" w:hAnsi="Calibri"/>
          <w:b/>
          <w:color w:val="6E8450"/>
          <w:sz w:val="18"/>
        </w:rPr>
        <w:t>DIVIDEND SLEEVE · 2026-04-01 · Inspire: 57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Parts · NYSE · United States</w:t>
      </w:r>
    </w:p>
    <w:p>
      <w:pPr>
        <w:spacing w:after="80"/>
      </w:pPr>
      <w:r>
        <w:rPr>
          <w:rFonts w:ascii="Calibri" w:hAnsi="Calibri"/>
          <w:b w:val="0"/>
          <w:color w:val="3A4A28"/>
          <w:sz w:val="20"/>
        </w:rPr>
        <w:t>Genuine Parts Company distributes automotive and industrial replacement parts globally through its NAPA brand and Motion Industries subsidiary. The company operates over 10,700 locations across 17 countries, serving repair shops, fleet operators, and industrial customers. GPC announced plans to separate its automotive and industrial businesses into two independent publicly traded companies.</w:t>
      </w:r>
    </w:p>
    <w:p>
      <w:r>
        <w:rPr>
          <w:rFonts w:ascii="Calibri" w:hAnsi="Calibri"/>
          <w:b/>
          <w:color w:val="6E8450"/>
          <w:sz w:val="18"/>
        </w:rPr>
        <w:t>65,000 Employees · https://www.genpt.com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GPC has grown revenue from $16.5B in 2020 to $24.3B in 2025, primarily through bolt-on acquisitions (1.5% contribution in Q4 2025) and organic growth rather than transformative product launches [1]. The planned separation of automotive and industrial businesses is the most significant strategic move in company history but is execution-stage, not proven. AI Deployment (1/2): GPC is investing in AI-driven inventory planning, pricing optimization, and e-commerce platforms, but the Chief Information &amp; Digital Officer departed in early 2026 and the role will not be directly replaced, raising execution questions on digital transformation [2]. Market Share (2/2): NAPA is the leading automotive aftermarket parts brand in North America with dominant distribution infrastructure across 10,700+ locations; Motion Industries holds strong market position in industrial distribution [1]. Pipeline (1/2): The automotive-industrial separation is expected to unlock value, and digital commerce investments are underway, but specific next-gen product timelines are limited. R&amp;D Intensity (0/1): As a distributor, GPC's R&amp;D investment is minimal relative to technology or manufacturing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GPC's stated purpose centers on 'keeping the world moving' through parts distribution — clear and relevant to its business but not distinctive or transformative. It identifies what the company does and for whom without articulating a deeper aspirational purpose. Community Impact (1/2): GPC has general corporate philanthropy programs and community involvement through its NAPA network, with sustainability reporting aligned to SASB and TCFD frameworks, but specific program dollar amounts are not prominently disclosed [3]. Employee Retention (1/2): With 65,000 employees across 17 countries and a nearly century-long operating history, GPC demonstrates organizational stability, though the recent CIO departure and activist investor involvement (Elliott Management cooperation agreement) suggest some leadership turbulence [2]. Insider Buying (1/2): New CEO Will Stengel has significant operational alignment having risen through the ranks since 2019, and the board refreshment with Elliott-backed directors (Court Carruthers, Matt Carey from Home Depot) signals engaged governance, though net insider buying data is limited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GPC's infrastructure reflects a stable distribution business with strong dividend credentials partially offset by a weak 2025 earnings year. D/E of 156% is elevated for a distributor but manageable given $24.3B in revenue and consistent cash generation [1]. ROE of 1.5% is severely depressed by $65.9M GAAP net income in 2025 versus $904M in 2024, reflecting massive restructuring charges and write-downs related to the planned separation [1]. Forward P/E of 12.3x is attractive, pricing in the earnings trough with adjusted EPS guidance of $7.50–$8.00 for 2026 [1]. GAAP profit margin of 0.27% is distorted by one-time charges; adjusted margins are approximately 3–4%. Revenue grew 4.1% YoY (1.7% comparable, 1.5% acquisitions) with a 5yr CAGR of approximately 8% [1]. The dividend is the crown jewel: 70 consecutive years of increases (since 1948), a Dividend King with $4.25 annual rate (4.0% yield), and 5yr dividend growth CAGR of 5.4% [1]. Liquidity floor easily cleared at $177M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GPC demonstrates strong infinite game fundamentals through its 97-year operating history and 70-year dividend growth streak, but the current period of leadership transition, activist involvement, and planned business separation introduces finite-game pressures. The company has endured the Great Depression, multiple recessions, and industry transformations, but the Elliott Management cooperation agreement and accelerated timeline for separation suggest short-term value extraction competing with long-term capability building.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GPC earns 2/3 points. The company's purpose of keeping vehicles and factories running through reliable parts distribution has been validated by 97 years of uninterrupted operations since 1928 and 70 consecutive years of dividend growth — demonstrating genuine commitment to stakeholders across multiple generations of leadership [1]. However, GPC's cause is functional rather than transformative; it lacks the aspirational quality of companies whose purpose IS their competitive advantage. The NAPA brand carries authentic heritage but the mission doesn't inspire sacrifice.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GPC earns 1/2 points. The company maintains organizational stability with 65,000 employees across 17 countries and relatively consistent leadership over decades [2]. However, the recent period has seen notable turbulence: Elliott Management took an activist position leading to a cooperation agreement, the CIO departed without replacement, CEO transition from Paul Donahue to Will Stengel is still maturing, and the planned business separation creates organizational uncertainty. These are signs of adequate but not exceptional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GPC earns 1/1 point. Management acknowledges competitive dynamics from AutoZone, O'Reilly, and Advance Auto Parts in automotive, and Grainger and Fastenal in industrial distribution. CEO Stengel has framed competition in terms of GPC's need to improve its digital capabilities and operational efficiency rather than simply beating rivals, noting the company's 'competitive advantages lie in global diversification and operational agility' — language focused on self-improvement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GPC earns 1/2 points. The planned separation of automotive (NAPA) and industrial (Motion) businesses into two independent public companies represents significant strategic adaptation — the most transformative move in the company's 97-year history [1]. GPC has also evolved from a regional auto parts distributor to a global multi-segment distribution company through decades of acquisitions across 17 countries. However, the separation appears driven by activist pressure (Elliott Management) and valuation unlocking rather than a cause-driven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GPC earns 1/2 points. The company maintained and increased its dividend through the COVID-19 pandemic, the 2025 earnings collapse ($65.9M GAAP net income vs. $904M prior year), and the current restructuring period — demonstrating commitment to long-term shareholder returns over short-term earnings management [1]. The 3.2% dividend increase for 2026 despite the earnings trough shows conviction. However, the capitulation to Elliott Management's demands and the board changes suggest leadership prioritizing external pressure over independent long-term vision.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Genuine Parts Company is a 97-year-old distribution franchise with the aftermarket industry's most recognized brand (NAPA) and a 70-year consecutive dividend growth streak — one of only a handful of Dividend Kings in the market. Despite a difficult 2025 (GAAP EPS of just $0.47 due to restructuring charges), the underlying business generated adjusted EPS of $7.37 and $24.3B in revenue (up 4.1% YoY) [1]. At 12.3x forward earnings with a 4.0% yield and guided 2026 adjusted EPS of $7.50–$8.00, GPC is priced for the earnings trough with meaningful recovery potential. The planned separation of automotive and industrial businesses could unlock significant value, as industrial distribution peers (Fastenal, Grainger) trade at premium multiples. GPC's physical distribution infrastructure — 10,700+ locations across 17 countries — creates a logistics moat that is extremely difficult to replicate [1].</w:t>
      </w:r>
    </w:p>
    <w:p>
      <w:pPr>
        <w:spacing w:after="120"/>
      </w:pPr>
      <w:r>
        <w:rPr>
          <w:rFonts w:ascii="Calibri" w:hAnsi="Calibri"/>
          <w:b w:val="0"/>
          <w:color w:val="3A4A28"/>
          <w:sz w:val="20"/>
        </w:rPr>
        <w:t>The bear case centers on execution risk and structural headwinds. The 2025 earnings collapse revealed significant operational challenges — GAAP net income plunged 93% from $904M to $65.9M, driven by restructuring charges, goodwill write-downs, and margin compression [1]. The planned business separation adds complexity and cost at a time when management bandwidth is already stretched by the CIO departure and Elliott Management's activism. Revenue growth of 3–5.5% guidance for 2026 is modest for a company with 156% D/E ratio, and the GAAP payout ratio of 876% (adjusted ~56%) leaves limited margin for error if adjusted earnings disappoint. Moody's shifted GPC's outlook to negative, citing weaker operating performance and economic uncertainty [4]. The automotive aftermarket faces secular pressure from improving vehicle quality (longer replacement cycles) and potential EV disruption of traditional parts demand over the medium term.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Automotive-industrial business separation expected to unlock conglomerate discount, as standalone industrial distribution peers trade at 20-25x earnings versus GPC's blended 12.3x forward [1]</w:t>
      </w:r>
    </w:p>
    <w:p>
      <w:pPr>
        <w:spacing w:before="40" w:after="40"/>
        <w:ind w:left="283"/>
      </w:pPr>
      <w:r>
        <w:rPr>
          <w:rFonts w:ascii="Calibri" w:hAnsi="Calibri"/>
          <w:b/>
          <w:color w:val="4A6B25"/>
          <w:sz w:val="20"/>
        </w:rPr>
        <w:t xml:space="preserve">2. </w:t>
      </w:r>
      <w:r>
        <w:rPr>
          <w:rFonts w:ascii="Calibri" w:hAnsi="Calibri"/>
          <w:b w:val="0"/>
          <w:color w:val="3A4A28"/>
          <w:sz w:val="20"/>
        </w:rPr>
        <w:t>Earnings normalization from 2025 trough — 2026 guidance of $7.50–$8.00 adjusted EPS represents 2–9% growth, with potential upside if restructuring costs abate [1]</w:t>
      </w:r>
    </w:p>
    <w:p>
      <w:pPr>
        <w:spacing w:before="40" w:after="40"/>
        <w:ind w:left="283"/>
      </w:pPr>
      <w:r>
        <w:rPr>
          <w:rFonts w:ascii="Calibri" w:hAnsi="Calibri"/>
          <w:b/>
          <w:color w:val="4A6B25"/>
          <w:sz w:val="20"/>
        </w:rPr>
        <w:t xml:space="preserve">3. </w:t>
      </w:r>
      <w:r>
        <w:rPr>
          <w:rFonts w:ascii="Calibri" w:hAnsi="Calibri"/>
          <w:b w:val="0"/>
          <w:color w:val="3A4A28"/>
          <w:sz w:val="20"/>
        </w:rPr>
        <w:t>Digital transformation acceleration under new board members with technology expertise (Matt Carey, former Home Depot CIO), driving e-commerce penetration and AI-powered inventory optimization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Business separation execution risk — complex carve-out of two global businesses with shared infrastructure, during a period of leadership transition and activist pressure, could destroy value if poorly managed [1]</w:t>
      </w:r>
    </w:p>
    <w:p>
      <w:pPr>
        <w:spacing w:before="40" w:after="40"/>
        <w:ind w:left="283"/>
      </w:pPr>
      <w:r>
        <w:rPr>
          <w:rFonts w:ascii="Calibri" w:hAnsi="Calibri"/>
          <w:b/>
          <w:color w:val="4A6B25"/>
          <w:sz w:val="20"/>
        </w:rPr>
        <w:t xml:space="preserve">2. </w:t>
      </w:r>
      <w:r>
        <w:rPr>
          <w:rFonts w:ascii="Calibri" w:hAnsi="Calibri"/>
          <w:b w:val="0"/>
          <w:color w:val="3A4A28"/>
          <w:sz w:val="20"/>
        </w:rPr>
        <w:t>Elevated leverage (156% D/E) combined with Moody's negative outlook creates refinancing risk if operating performance disappoints during the separation process [4]</w:t>
      </w:r>
    </w:p>
    <w:p>
      <w:pPr>
        <w:spacing w:before="40" w:after="40"/>
        <w:ind w:left="283"/>
      </w:pPr>
      <w:r>
        <w:rPr>
          <w:rFonts w:ascii="Calibri" w:hAnsi="Calibri"/>
          <w:b/>
          <w:color w:val="4A6B25"/>
          <w:sz w:val="20"/>
        </w:rPr>
        <w:t xml:space="preserve">3. </w:t>
      </w:r>
      <w:r>
        <w:rPr>
          <w:rFonts w:ascii="Calibri" w:hAnsi="Calibri"/>
          <w:b w:val="0"/>
          <w:color w:val="3A4A28"/>
          <w:sz w:val="20"/>
        </w:rPr>
        <w:t>Secular decline in traditional ICE vehicle parts demand as electric vehicle adoption reduces aftermarket complexity (fewer moving parts, less frequent maintenance), threatening NAPA's long-term volume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GPC's core business — physical distribution of automotive and industrial replacement parts through 10,700+ locations — is structurally immune to AI disruption. Cars still break down, factories still need bearings and hoses, and physical parts must be sourced, warehoused, and delivered. The aftermarket parts distribution model requires local inventory, technical expertise, and same-day delivery infrastructure that AI cannot replicate [2]. AI may actually increase demand as autonomous and electric vehicles add complexity to repair needs. Analysts have not flagged AI as a substitution risk for GPC's business. AI Opportunity (0/1): GPC is deploying AI internally for inventory optimization and pricing but does not generate meaningful AI-related revenue. The departure of the CIO/Digital Officer raises questions about execution of digital transformation initiatives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Genuine Parts Company Q4 and Full-Year 2025 Earnings Release, February 17, 2026 — $24.3B revenue, $0.47 GAAP EPS, $7.37 adjusted EPS, 2026 guidance $7.50–$8.00</w:t>
      </w:r>
    </w:p>
    <w:p>
      <w:pPr>
        <w:spacing w:before="20" w:after="20"/>
        <w:ind w:left="170"/>
      </w:pPr>
      <w:r>
        <w:rPr>
          <w:rFonts w:ascii="Calibri" w:hAnsi="Calibri"/>
          <w:b/>
          <w:color w:val="4A6B25"/>
          <w:sz w:val="15"/>
        </w:rPr>
        <w:t xml:space="preserve">2. </w:t>
      </w:r>
      <w:r>
        <w:rPr>
          <w:rFonts w:ascii="Calibri" w:hAnsi="Calibri"/>
          <w:b w:val="0"/>
          <w:color w:val="3A4A28"/>
          <w:sz w:val="17"/>
        </w:rPr>
        <w:t>Genuine Parts Company Board Leadership Transition and CEO Announcements, January 2026 — Will Stengel named Chair-Elect, Elliott Management cooperation agreement, CIO departure</w:t>
      </w:r>
    </w:p>
    <w:p>
      <w:pPr>
        <w:spacing w:before="20" w:after="20"/>
        <w:ind w:left="170"/>
      </w:pPr>
      <w:r>
        <w:rPr>
          <w:rFonts w:ascii="Calibri" w:hAnsi="Calibri"/>
          <w:b/>
          <w:color w:val="4A6B25"/>
          <w:sz w:val="15"/>
        </w:rPr>
        <w:t xml:space="preserve">3. </w:t>
      </w:r>
      <w:r>
        <w:rPr>
          <w:rFonts w:ascii="Calibri" w:hAnsi="Calibri"/>
          <w:b w:val="0"/>
          <w:color w:val="3A4A28"/>
          <w:sz w:val="17"/>
        </w:rPr>
        <w:t>Yahoo Finance / Sustainalytics ESG Data — GPC ESG Risk Score 13 (Low), MSCI AA rating, Moderate controversy level</w:t>
      </w:r>
    </w:p>
    <w:p>
      <w:pPr>
        <w:spacing w:before="20" w:after="20"/>
        <w:ind w:left="170"/>
      </w:pPr>
      <w:r>
        <w:rPr>
          <w:rFonts w:ascii="Calibri" w:hAnsi="Calibri"/>
          <w:b/>
          <w:color w:val="4A6B25"/>
          <w:sz w:val="15"/>
        </w:rPr>
        <w:t xml:space="preserve">4. </w:t>
      </w:r>
      <w:r>
        <w:rPr>
          <w:rFonts w:ascii="Calibri" w:hAnsi="Calibri"/>
          <w:b w:val="0"/>
          <w:color w:val="3A4A28"/>
          <w:sz w:val="17"/>
        </w:rPr>
        <w:t>Investing.com — GPC shares tumble 7%+ on Q4 earnings miss, Goldman Sachs upgrade to Neutral, Moody's negative outlook</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GPC (Genuine Parts Company),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