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GPGI</w:t>
      </w:r>
      <w:r>
        <w:rPr>
          <w:rFonts w:ascii="Calibri" w:hAnsi="Calibri"/>
          <w:b/>
          <w:color w:val="1A2010"/>
          <w:sz w:val="40"/>
        </w:rPr>
        <w:t xml:space="preserve">  GPGI, Inc.</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Metal Fabrication · NYSE · United States</w:t>
      </w:r>
    </w:p>
    <w:p>
      <w:pPr>
        <w:spacing w:after="80"/>
      </w:pPr>
      <w:r>
        <w:rPr>
          <w:rFonts w:ascii="Calibri" w:hAnsi="Calibri"/>
          <w:b w:val="0"/>
          <w:color w:val="3A4A28"/>
          <w:sz w:val="20"/>
        </w:rPr>
        <w:t>GPGI (formerly CompoSecure) is a diversified multi-industry platform operating two segments: CompoSecure (premium metal payment cards, security and authentication solutions) and Husky Technologies (engineered injection molding equipment and aftermarket tooling for food, beverage, medical, and packaging applications). The company completed its $7.4B business combination with Husky Technologies in January 2026 under Executive Chairman Dave Cote's Resolute Operating System.</w:t>
      </w:r>
    </w:p>
    <w:p>
      <w:r>
        <w:rPr>
          <w:rFonts w:ascii="Calibri" w:hAnsi="Calibri"/>
          <w:b/>
          <w:color w:val="6E8450"/>
          <w:sz w:val="18"/>
        </w:rPr>
        <w:t>971 Employees · https://gpgi.com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GPGI executed a transformative business combination with Husky Technologies in January 2026, creating a diversified industrial platform from a single-segment metal card business [1][2]. CompoSecure's Q4 2025 organic revenue grew 17% with net income up 189% [1]. AI Deployment (0/2): No evidence of AI-powered products or quantified AI-driven savings across either segment [3]. Market Share (2/2): CompoSecure is the dominant provider of premium metal payment cards globally, supplying to major banks and fintechs, while Husky Technologies holds leading market share in injection molding equipment for food and beverage packaging [2]. Pipeline (1/2): 2026 guidance of $2.18-2.23B non-GAAP revenue with ~17% EBITDA growth and margin expansion in H2 signals clear growth pipeline, but specific next-gen products were not detailed [1]. R&amp;D Intensity (1/1): Husky Technologies invests in precision molding innovation; CompoSecure's Arculus digital authentication platform represents meaningful R&amp;D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GPGI's stated purpose centers on being a 'diversified multi-industry compounder' acquiring market-leading businesses in 'good industries' — clear but not distinctive, essentially a conglomerate playbook [3]. Community Impact (1/2): Husky Technologies emphasizes safety culture and community engagement at manufacturing sites, but no specific foundation or philanthropic programs with dollar amounts were identified [4]. Employee Retention (1/2): Graham Robinson's appointment as CompoSecure CEO bringing 30 years of industrial leadership from Carlyle and Stanley Black &amp; Decker suggests stability, though the leadership transition at Husky (CEO and CFO departing in 2026) signals organizational flux [3]. Insider Buying (1/2): Dave Cote holds significant equity as Executive Chairman with 21% insider ownership, aligning incentives, though no specific recent open-market purchases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distorted by the January 2026 Husky merger. Reported TTM revenue of $59.8M and negative margins reflect incomplete post-merger consolidation rather than true operating performance [1]. Pro forma guidance of $2.18-2.23B revenue with $620-650M adjusted EBITDA (~29% margin) paints a stronger picture [1]. Forward P/E of 14.9x is attractive for a diversified industrial compounder. Balance sheet shows zero reported debt and $114.6M cash, though the Husky acquisition was financed with significant leverage not yet fully reflected in yfinance data [5]. ROE is negative on a TTM basis due to merger accounting. Using pro forma organic revenue growth of 17% and forward P/E of 14.9x as the most representative metrics, infrastructure scores moderately. Liquidity floor cleared: 3.9M avg vol × $17.26 = $67.9M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GPGI under Dave Cote's leadership aspires to build a durable multi-industry compounder, but the company is too early in its transformation to demonstrate infinite game credentials. The Husky acquisition is a bold bet on long-term value creation, but significant leadership turnover (Husky CEO and CFO departing, CompoSecure CEO replaced) introduces execution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GPGI's purpose of 'acquiring and operating market-leading businesses in good industries' is a financial engineering thesis, not a Just Cause in Sinek's framework [3]. Dave Cote's Resolute Operating System emphasizes operational excellence and cultural transformation, which is strategic but lacks the idealistic, service-oriented vision Sinek demands. The company exists to compound returns, not to advance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emphasis on deploying the Resolute Operating System and 'fostering cultural change consistent with high-performing organizations' suggests intentional team-building [3][4]. However, the departure of Husky's CEO and CFO within months of the merger, plus CompoSecure's CEO transition from Jon Wilk to Graham Robinson, signals organizational instability that undermines trust-building during a critical integration period.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GPGI's leadership acknowledging competitors' strengths or framing competition as a learning opportunity [3]. The company's narrative focuses on acquisition-driven growth and operational improvement rather than competitive positioning relative to peers like Nidec or Milacron in injection molding.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single-segment CompoSecure (metal payment cards) to a diversified industrial platform via the $7.4B Husky acquisition represents meaningful strategic evolution [2]. However, this is an acquisition-driven pivot, not an organic reinvention driven by purpose. The flexibility is real but motivated by financial engineering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Husky acquisition was a bold move — transforming a ~$400M revenue metal card company into a $2B+ diversified platform required significant conviction and execution [1][2]. Dave Cote's track record as former Honeywell CEO leading that company's transformation lends credibility. However, the heavy reliance on acquisition rather than organic investment tempers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GPGI represents a compelling industrial transformation story under Dave Cote's proven leadership. The January 2026 Husky Technologies combination created a $2.2B revenue platform with ~70% recurring revenues, 29% EBITDA margins, and $325-375M projected free cash flow [1]. CompoSecure's Q4 organic revenue grew 17% with 189% net income growth, demonstrating the metal payment card franchise's strength [1]. At 14.9x forward P/E, the stock trades at a meaningful discount to industrial compounder peers, and the Resolute Operating System offers a clear pathway to margin expansion through H2 2026. The $5B market cap provides substantial upside if Cote replicates even a fraction of his Honeywell playbook.</w:t>
      </w:r>
    </w:p>
    <w:p>
      <w:pPr>
        <w:spacing w:after="120"/>
      </w:pPr>
      <w:r>
        <w:rPr>
          <w:rFonts w:ascii="Calibri" w:hAnsi="Calibri"/>
          <w:b w:val="0"/>
          <w:color w:val="3A4A28"/>
          <w:sz w:val="20"/>
        </w:rPr>
        <w:t>The bear case centers on execution risk from a complex integration. The Husky CEO and CFO are departing in 2026, and CompoSecure just installed a new segment CEO — three leadership vacancies during the most critical integration phase is concerning [3][4]. Reported financials are severely distorted by merger accounting, making it difficult to assess true operating performance. The company's debt load from the $7.4B acquisition is not yet fully transparent in public filings. Husky operates in a cyclical injection molding market where demand is tied to consumer packaging volumes; a recession would pressure the largest revenue segment. Additionally, the stock has declined 35% from its 52-week high of $26.78 to $17.26, reflecting market skepticism about the integration timeline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margin expansion as Resolute Operating System gains traction across Husky operations, with guided EBITDA growth of ~17% YoY [1]</w:t>
      </w:r>
    </w:p>
    <w:p>
      <w:pPr>
        <w:spacing w:before="40" w:after="40"/>
        <w:ind w:left="283"/>
      </w:pPr>
      <w:r>
        <w:rPr>
          <w:rFonts w:ascii="Calibri" w:hAnsi="Calibri"/>
          <w:b/>
          <w:color w:val="4A6B25"/>
          <w:sz w:val="20"/>
        </w:rPr>
        <w:t xml:space="preserve">2. </w:t>
      </w:r>
      <w:r>
        <w:rPr>
          <w:rFonts w:ascii="Calibri" w:hAnsi="Calibri"/>
          <w:b w:val="0"/>
          <w:color w:val="3A4A28"/>
          <w:sz w:val="20"/>
        </w:rPr>
        <w:t>CompoSecure segment continuation of 17% organic revenue growth driven by expanding premium metal card partnerships with banks and fintechs [1]</w:t>
      </w:r>
    </w:p>
    <w:p>
      <w:pPr>
        <w:spacing w:before="40" w:after="40"/>
        <w:ind w:left="283"/>
      </w:pPr>
      <w:r>
        <w:rPr>
          <w:rFonts w:ascii="Calibri" w:hAnsi="Calibri"/>
          <w:b/>
          <w:color w:val="4A6B25"/>
          <w:sz w:val="20"/>
        </w:rPr>
        <w:t xml:space="preserve">3. </w:t>
      </w:r>
      <w:r>
        <w:rPr>
          <w:rFonts w:ascii="Calibri" w:hAnsi="Calibri"/>
          <w:b w:val="0"/>
          <w:color w:val="3A4A28"/>
          <w:sz w:val="20"/>
        </w:rPr>
        <w:t>Successful Husky leadership transition and first full-year pro forma financial reporting providing transparency on combined entity performance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three senior leadership departures (Husky CEO, CFO; CompoSecure CEO transition) during the critical first year of the merger [3][4]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in injection molding — Husky's equipment sales tied to consumer packaging capex cycles that are vulnerable to economic downturns [2]</w:t>
      </w:r>
    </w:p>
    <w:p>
      <w:pPr>
        <w:spacing w:before="40" w:after="40"/>
        <w:ind w:left="283"/>
      </w:pPr>
      <w:r>
        <w:rPr>
          <w:rFonts w:ascii="Calibri" w:hAnsi="Calibri"/>
          <w:b/>
          <w:color w:val="4A6B25"/>
          <w:sz w:val="20"/>
        </w:rPr>
        <w:t xml:space="preserve">3. </w:t>
      </w:r>
      <w:r>
        <w:rPr>
          <w:rFonts w:ascii="Calibri" w:hAnsi="Calibri"/>
          <w:b w:val="0"/>
          <w:color w:val="3A4A28"/>
          <w:sz w:val="20"/>
        </w:rPr>
        <w:t>Opaque financial reporting — merger accounting distorts TTM metrics, preventing clear assessment of true leverage ratios and operating performance until full-year 2026 results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GPGI's core businesses are deeply physical-world operations — Husky manufactures precision injection molding equipment used in food/beverage packaging and medical devices, while CompoSecure fabricates premium metal payment cards [2]. Both require specialized manufacturing infrastructure, regulatory compliance, and physical material science expertise that AI cannot replicate. AI may improve manufacturing efficiency but cannot substitute for the physical production of molding equipment or metal cards. No analysts have flagged AI as a substitution risk for either segment. AI Opportunity (0/1): Neither segment generates meaningful AI-related revenue; no AI products or services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GPGI Q4 2025 Earnings Release — organic revenue growth 17%, net income growth 189%, pro forma EBITDA $171M, March 12,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CompoSecure completes business combination with Husky Technologies, rebrands to GPGI Inc., January 12, 2026</w:t>
      </w:r>
    </w:p>
    <w:p>
      <w:pPr>
        <w:spacing w:before="20" w:after="20"/>
        <w:ind w:left="170"/>
      </w:pPr>
      <w:r>
        <w:rPr>
          <w:rFonts w:ascii="Calibri" w:hAnsi="Calibri"/>
          <w:b/>
          <w:color w:val="4A6B25"/>
          <w:sz w:val="15"/>
        </w:rPr>
        <w:t xml:space="preserve">3. </w:t>
      </w:r>
      <w:r>
        <w:rPr>
          <w:rFonts w:ascii="Calibri" w:hAnsi="Calibri"/>
          <w:b w:val="0"/>
          <w:color w:val="3A4A28"/>
          <w:sz w:val="17"/>
        </w:rPr>
        <w:t>CompoSecure segment CEO transition — Graham Robinson appointed, replacing Jon Wilk, January 22, 2026</w:t>
      </w:r>
    </w:p>
    <w:p>
      <w:pPr>
        <w:spacing w:before="20" w:after="20"/>
        <w:ind w:left="170"/>
      </w:pPr>
      <w:r>
        <w:rPr>
          <w:rFonts w:ascii="Calibri" w:hAnsi="Calibri"/>
          <w:b/>
          <w:color w:val="4A6B25"/>
          <w:sz w:val="15"/>
        </w:rPr>
        <w:t xml:space="preserve">4. </w:t>
      </w:r>
      <w:r>
        <w:rPr>
          <w:rFonts w:ascii="Calibri" w:hAnsi="Calibri"/>
          <w:b w:val="0"/>
          <w:color w:val="3A4A28"/>
          <w:sz w:val="17"/>
        </w:rPr>
        <w:t>GPGI Inc. Announces Executive Leadership Transitions at Husky Technologies segment,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GPGI,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