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GPK</w:t>
      </w:r>
      <w:r>
        <w:rPr>
          <w:rFonts w:ascii="Calibri" w:hAnsi="Calibri"/>
          <w:b/>
          <w:color w:val="1A2010"/>
          <w:sz w:val="40"/>
        </w:rPr>
        <w:t xml:space="preserve">  Graphic Packaging Holding Company</w:t>
      </w:r>
    </w:p>
    <w:p>
      <w:pPr>
        <w:spacing w:after="120"/>
      </w:pPr>
      <w:r>
        <w:rPr>
          <w:rFonts w:ascii="Calibri" w:hAnsi="Calibri"/>
          <w:b/>
          <w:color w:val="6E8450"/>
          <w:sz w:val="18"/>
        </w:rPr>
        <w:t>DIVIDEND SLEEVE · 2026-03-28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Graphic Packaging Holding Company is a global leader in sustainable, fiber-based consumer packaging, producing folding cartons and foodservice packaging for food, beverage, and consumer products companies. The company operates manufacturing facilities across North America and Europe, replacing approximately 450 million plastic packages with paperboard annually in Europe and 665 million foam cups with paper cups in North America.</w:t>
      </w:r>
    </w:p>
    <w:p>
      <w:r>
        <w:rPr>
          <w:rFonts w:ascii="Calibri" w:hAnsi="Calibri"/>
          <w:b/>
          <w:color w:val="6E8450"/>
          <w:sz w:val="18"/>
        </w:rPr>
        <w:t>24,000 Employees · https://www.graphicpkg.com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GPK completed a major capital investment cycle with over $900M in capex in 2025, but revenue declined ~2.2% YoY with EBITDA margins contracting from 20.1% to 16.6%, reflecting industry overcapacity rather than successful innovation [1]. The plastic-to-paperboard conversion (450M packages in Europe, 665M foam cups replaced in NA) represents a meaningful sustainability-driven product evolution [3]. AI Deployment (1/2): GPK plans to deploy AI tools for efficiency in 2026 as part of $60M SG&amp;A cost reduction, but no specific AI products or quantified savings have been reported yet [1]. Market Share (1/2): GPK is one of the largest producers of folding cartons and fiber-based foodservice packaging in the US and Europe, with a meaningful competitive position but facing industry overcapacity and declining demand [1]. Pipeline (1/2): New CEO Robbert Rietbroek (January 2026) is conducting a comprehensive business review with five strategic priorities including disciplined organic growth; capex declining to $450M in 2026 from $900M+ suggests the investment cycle is maturing [1]. R&amp;D Intensity (1/1): Continued innovation in sustainable packaging materials, including paper cup technology and plastic replacement solutions, represents above-average commitment to product development in the packaging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GPK's corporate values emphasize integrity, honesty, and leading by example, with a clear focus on sustainable packaging as a societal contribution — replacing plastic with fiber-based alternatives [3]. The mission is clear and connected to environmental purpose but not deeply transformative or distinctive. Community Impact (1/2): GPK ranks No. 5 on 3BL's 100 Best Corporate Citizens list and No. 1 in the materials industry; Newsweek recognized it as one of America's Most Responsible Companies for three consecutive years [3]. Gender and ethnic diversity exceed industry benchmarks by 27% and 2× respectively [3]. Employee Retention (1/2): Glassdoor rating of 3.8/5 is solid, with Atlanta HQ employees rating 4.3/5 and citing leadership that 'leads by example' and 'genuine care for each employee' [2]. However, Comparably rates the executive team a 'D' (bottom 15%), and the CEO transition has created uncertainty [2]. Insider Buying (1/2): New CEO Rietbroek brings external credibility from PepsiCo, Kimberly-Clark, and P&amp;G leadership roles, though no specific insider buying data is available for the new leadership team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GPK's financial profile is anchored by a remarkably low forward P/E of 6.87x and strong cash flow generation — targeting $700-800M adjusted free cash flow in 2026 with capex declining to $450M from $900M+ [1]. P/E of 6.24x on $1.48 EPS reflects the market's overcapacity concerns. D/E of 175.8% is elevated and contributed to the S&amp;P downgrade to BB, though the company targets $500M in debt paydown toward investment-grade by 2030 [1]. ROE of 14.0% is near target, and the payout ratio of ~27% leaves substantial room for dividend growth. Profit margin of 5.2% is below target for the sector. Revenue of $8.62B TTM grew only 0.4% YoY, reflecting weak demand, but 5yr CAGR of ~4.3% shows moderate secular growth. Consecutive dividend payments of ~9 years with ~5% 5yr growth CAGR provide income stability [1]. Liquidity floor cleared: 7.09M avg vol × $9.23 = $65.4M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Graphic Packaging demonstrates some infinite game qualities through its two-decade commitment to sustainable packaging and the long-term capital investment cycle, but the CEO transition, S&amp;P downgrade, and industry overcapacity create finite pressures. The comprehensive business review under new CEO Rietbroek suggests the company is recalibrating its strategic direction.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GPK's implicit cause — replacing plastic packaging with sustainable fiber-based alternatives — is genuine and connects the business to environmental stewardship [3]. The 2050 net-zero goal and 450M plastic packages replaced annually demonstrate commitment. However, this cause is shared by the entire paperboard industry and hasn't been articulated as a distinctive Just Cause by leadership. The CEO transition raises questions about cause continuity.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is above average, with Atlanta employees specifically citing leadership that 'leads by example' and creates 'a positive work environment characterized by healthy culture, effective communication, and mutual trust' [2]. However, the CEO transition in January 2026 and delayed merit increases have created employee uncertainty. Comparably's bottom-15% executive team rating is a red flag.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humility or learning from rivals in management commentary. GPK's competitive positioning focuses on scale and sustainability leadership in fiber-based packaging, with industry dynamics framed as overcapacity challenges rather than opportunities to learn from competitors like WestRock or International Paper.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GPK has evolved from a traditional folding carton company to a sustainability-focused packaging leader, pivoting toward plastic replacement and paper cup technology [3]. The decision to invest $900M+ in new capacity demonstrates willingness to make large bets. The incoming CEO from consumer products (PepsiCo, Kimberly-Clark) signals potential strategic evolution beyond traditional packaging.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GPK invested over $900M in capex during 2025 despite declining demand and margin compression, demonstrating willingness to build for the future during a downturn [1]. The commitment to pay down $500M in debt and achieve investment-grade by 2030 shows long-term financial discipline. However, the CEO departure and business review suggest the board recognized strategic issues that needed corrective 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Graphic Packaging is a deep-value play at 6.87x forward P/E with a 4.3% dividend yield and massive free cash flow inflection — targeting $700-800M adjusted FCF in 2026 as capex drops from $900M+ to $450M [1]. The company is the leading sustainable fiber-based packaging producer in North America and Europe, replacing hundreds of millions of plastic packages annually with paperboard alternatives, positioning it for secular tailwinds as consumer brands shift away from plastic [3]. The S&amp;P downgrade to BB and industry overcapacity have depressed the stock to $9.23, creating potential value for patient investors as $500M in planned debt reduction improves the credit profile toward investment-grade by 2030. New CEO Rietbroek (ex-PepsiCo, Kimberly-Clark) brings consumer products expertise that could accelerate organic growth and customer relationships [2].</w:t>
      </w:r>
    </w:p>
    <w:p>
      <w:pPr>
        <w:spacing w:after="120"/>
      </w:pPr>
      <w:r>
        <w:rPr>
          <w:rFonts w:ascii="Calibri" w:hAnsi="Calibri"/>
          <w:b w:val="0"/>
          <w:color w:val="3A4A28"/>
          <w:sz w:val="20"/>
        </w:rPr>
        <w:t>The bear case centers on declining demand and leverage concerns. Revenue has been flat to declining (0.4% YoY, -2.2% in 2025) as paperboard industry overcapacity following recent capacity additions compresses pricing power [1]. S&amp;P expects adjusted debt-to-EBITDA to remain above 4x through 2026, and the downgrade to BB reflects real credit deterioration. Earnings declined 48% YoY and profit margins at 5.2% are thin for a company carrying 175.8% D/E [4]. The CEO transition adds execution uncertainty — the board replaced a long-tenured CEO (Doss, since 2016) with an external hire, suggesting strategic direction needed correction. Revenue growth is not expected to return until 2027 at low-single-digit rates, meaning the stock relies on multiple expansion and FCF yield rather than growth. The comprehensive business review could surface additional restructuring costs or asset impairments that pressure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Free cash flow inflection in 2026 — targeting $700-800M adjusted FCF as capex drops to $450M from $900M+, enabling accelerated debt paydown and potential dividend growth [1]</w:t>
      </w:r>
    </w:p>
    <w:p>
      <w:pPr>
        <w:spacing w:before="40" w:after="40"/>
        <w:ind w:left="283"/>
      </w:pPr>
      <w:r>
        <w:rPr>
          <w:rFonts w:ascii="Calibri" w:hAnsi="Calibri"/>
          <w:b/>
          <w:color w:val="4A6B25"/>
          <w:sz w:val="20"/>
        </w:rPr>
        <w:t xml:space="preserve">2. </w:t>
      </w:r>
      <w:r>
        <w:rPr>
          <w:rFonts w:ascii="Calibri" w:hAnsi="Calibri"/>
          <w:b w:val="0"/>
          <w:color w:val="3A4A28"/>
          <w:sz w:val="20"/>
        </w:rPr>
        <w:t>Secular plastic-to-paperboard conversion creating durable demand growth as consumer brands and regulators push for sustainable packaging alternatives [3]</w:t>
      </w:r>
    </w:p>
    <w:p>
      <w:pPr>
        <w:spacing w:before="40" w:after="40"/>
        <w:ind w:left="283"/>
      </w:pPr>
      <w:r>
        <w:rPr>
          <w:rFonts w:ascii="Calibri" w:hAnsi="Calibri"/>
          <w:b/>
          <w:color w:val="4A6B25"/>
          <w:sz w:val="20"/>
        </w:rPr>
        <w:t xml:space="preserve">3. </w:t>
      </w:r>
      <w:r>
        <w:rPr>
          <w:rFonts w:ascii="Calibri" w:hAnsi="Calibri"/>
          <w:b w:val="0"/>
          <w:color w:val="3A4A28"/>
          <w:sz w:val="20"/>
        </w:rPr>
        <w:t>$60M SG&amp;A cost reduction program in 2026 including AI tool deployment, combined with $280M working capital inflow from inventory reduction, improving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Paperboard industry overcapacity from recent capacity additions depressing pricing power and volume growth, with S&amp;P projecting no revenue growth until 2027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175.8% D/E with S&amp;P downgrade to BB and adjusted debt-to-EBITDA above 4x through 2026, limiting financial flexibility [1]</w:t>
      </w:r>
    </w:p>
    <w:p>
      <w:pPr>
        <w:spacing w:before="40" w:after="40"/>
        <w:ind w:left="283"/>
      </w:pPr>
      <w:r>
        <w:rPr>
          <w:rFonts w:ascii="Calibri" w:hAnsi="Calibri"/>
          <w:b/>
          <w:color w:val="4A6B25"/>
          <w:sz w:val="20"/>
        </w:rPr>
        <w:t xml:space="preserve">3. </w:t>
      </w:r>
      <w:r>
        <w:rPr>
          <w:rFonts w:ascii="Calibri" w:hAnsi="Calibri"/>
          <w:b w:val="0"/>
          <w:color w:val="3A4A28"/>
          <w:sz w:val="20"/>
        </w:rPr>
        <w:t>CEO transition uncertainty — new CEO Rietbroek conducting comprehensive business review that could reveal strategic or operational challenges requiring costly restructuring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Graphic Packaging's core business — manufacturing physical paperboard packaging in large-scale mills and converting facilities — is fundamentally physical and cannot be displaced by AI [2]. The company operates heavy manufacturing assets that produce tangible goods (folding cartons, cups, containers) requiring physical production, logistics, and delivery. A McKinsey survey found 95% of packaging executives believe they should invest in AI, but applications are incremental (predictive maintenance, design optimization, process efficiency) rather than substitutive [2]. AI Opportunity (0/1): GPK has announced plans to deploy AI tools for SG&amp;A efficiency in 2026 as part of a $60M cost reduction program, but no AI-related revenue is generated and no quantified savings have been reported yet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S&amp;P Global Ratings, Stock Analysis, Yahoo Finance — GPK downgrade, revenue trends, 2026 guidance, FCF targets,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Comparably, PR Newswire — GPK leadership transition, employee reviews, CEO Rietbroek appointment, 2025-2026</w:t>
      </w:r>
    </w:p>
    <w:p>
      <w:pPr>
        <w:spacing w:before="20" w:after="20"/>
        <w:ind w:left="170"/>
      </w:pPr>
      <w:r>
        <w:rPr>
          <w:rFonts w:ascii="Calibri" w:hAnsi="Calibri"/>
          <w:b/>
          <w:color w:val="4A6B25"/>
          <w:sz w:val="15"/>
        </w:rPr>
        <w:t xml:space="preserve">3. </w:t>
      </w:r>
      <w:r>
        <w:rPr>
          <w:rFonts w:ascii="Calibri" w:hAnsi="Calibri"/>
          <w:b w:val="0"/>
          <w:color w:val="3A4A28"/>
          <w:sz w:val="17"/>
        </w:rPr>
        <w:t>Graphic Packaging corporate website, ESG Reports — sustainability ratings, plastic replacement, net-zero 2050 goal,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GPK,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