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GPUS</w:t>
      </w:r>
      <w:r>
        <w:rPr>
          <w:rFonts w:ascii="Calibri" w:hAnsi="Calibri"/>
          <w:b/>
          <w:color w:val="1A2010"/>
          <w:sz w:val="40"/>
        </w:rPr>
        <w:t xml:space="preserve">  Hyperscale Data, Inc.</w:t>
      </w:r>
    </w:p>
    <w:p>
      <w:pPr>
        <w:spacing w:after="120"/>
      </w:pPr>
      <w:r>
        <w:rPr>
          <w:rFonts w:ascii="Calibri" w:hAnsi="Calibri"/>
          <w:b/>
          <w:color w:val="6E8450"/>
          <w:sz w:val="18"/>
        </w:rPr>
        <w:t>GROWTH SLEEVE · 2026-05-12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AMEX · United States</w:t>
      </w:r>
    </w:p>
    <w:p>
      <w:pPr>
        <w:spacing w:after="80"/>
      </w:pPr>
      <w:r>
        <w:rPr>
          <w:rFonts w:ascii="Calibri" w:hAnsi="Calibri"/>
          <w:b w:val="0"/>
          <w:color w:val="3A4A28"/>
          <w:sz w:val="20"/>
        </w:rPr>
        <w:t>Hyperscale Data, Inc. (formerly Ault Alliance) is a diversified holding company pivoting toward AI data center infrastructure. Its subsidiaries span crane operations, commercial lending, Bitcoin mining, hotel real estate, and defense/aerospace. The company operates a 617,000 sq ft Michigan data center facility targeting 340 MW capacity for AI and HPC workloads through its Alliance Cloud Services subsidiary.</w:t>
      </w:r>
    </w:p>
    <w:p>
      <w:r>
        <w:rPr>
          <w:rFonts w:ascii="Calibri" w:hAnsi="Calibri"/>
          <w:b/>
          <w:color w:val="6E8450"/>
          <w:sz w:val="18"/>
        </w:rPr>
        <w:t>562 Employees · https://hyperscaledata.com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company rebranded from Ault Alliance to Hyperscale Data in September 2024 and is divesting non-core assets to become a 'pure-play AI infrastructure company,' but this is still in early stages with no proven execution yet [1]. AI Deployment (1/2): Alliance Cloud Services has deployed NVIDIA GPUs at its Michigan facility and expanded collaboration with a major Silicon Valley cloud provider, generating early-stage AI hosting revenue [2]. Market Share (0/2): Hyperscale Data is a tiny player in the hyper-competitive data center market, with a $53 million market cap competing against multi-billion-dollar hyperscalers. Product Pipeline (1/2): The Michigan facility expansion to 340 MW and Ballista defense subsidiary (projected $40 million revenue in 2026) represent tangible pipeline items with specific targets [3]. R&amp;D Intensity (0/1): No meaningful R&amp;D spending; the company operates infrastructure rather than developing proprietary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stated direction of becoming a 'pure-play AI data center platform' is a business strategy rather than a mission — it's interchangeable with dozens of companies chasing AI infrastructure demand [1]. Community &amp; Charitable Impact (0/2): No evidence of philanthropic programs or community investment initiatives. Employee Retention (0/2): Founder Todd Ault III is stepping down amid SEC charges; CEO transitions and corporate restructuring suggest organizational instability rather than a trusted, stable culture [4]. Insider Buying (1/2): Executive Chairman Todd Ault has publicly expressed confidence in the company's transformation, and the stockholder letter highlights management conviction, though this is partially offset by the leadership transition and governance concerns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scores modestly due to strong revenue growth offsetting deeply negative profitability. Revenue growth of 38.4% YoY (with Q1 2026 showing 76% YoY growth to $44 million) and 2026 guidance of $180-200 million represent meaningful momentum [3]. However, ROE of -102.5% and profit margin of -65% reflect a company burning cash across its sprawling conglomerate structure. Debt-to-equity of 84.5% is elevated but manageable. PEG of 2.19 provides moderate growth-adjusted value. Liquidity passes the floor at $3.5 million daily dollar volume but is thin for institutional investors. The company is targeting profitability by Q4 2026 but this is unproven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Hyperscale Data operates with a finite mindset, pivoting opportunistically from one trend to the next — from crypto mining to AI infrastructure — without a coherent long-term vision. SEC enforcement actions and governance failures undermine any narrative of principled long-term leadership.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The company's serial rebranding (from BitNile to Ault Alliance to Hyperscale Data) and pivot from Bitcoin mining to AI infrastructure reflects opportunistic trend-chasing rather than a consistent vision of a better future. The company exists to capitalize on whatever the market values most at any given moment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evidenced by SEC enforcement actions against founder Todd Ault III for misleading disclosures and internal control violations spanning 2016-2021 [4]. The CEO transition, with Todd Ault stepping down amid regulatory troubles while CEO William Horne assumes the Chairman role, suggests organizational instability. Multiple subsidiaries operating semi-independently across unrelated industries creates fragmented rather than unified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The company's competitive positioning in AI data centers focuses on 'leading' the AI trend rather than learning from larger, better-capitalized rivals. The framing is about capturing market opportunity rather than self-improvement through competitive awareness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willingness to transform, divesting non-core assets (Ault Capital Group) to become a pure-play AI data center company. However, this appears driven by financial necessity and trend-chasing rather than by a Just Cause — the pivot from crypto mining to AI hosting follows the capital markets' enthusiasm rather than a principled strategic vision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is making bold capital allocation decisions, investing heavily in the Michigan data center expansion to 340 MW and guiding $180-200 million in 2026 revenue despite current losses [3]. The willingness to divest profitable legacy businesses (crane operations, hotels) to focus on AI infrastructure represents a meaningful sacrifice of near-term revenue for long-term positioning, though execution remains unproven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Hyperscale Data is attempting a dramatic transformation from a sprawling conglomerate into a pure-play AI data center company, with Q1 2026 revenue of $44 million (76% YoY growth) and full-year guidance of $180-200 million representing 80-100% growth [3]. The 617,000 sq ft Michigan facility with 340 MW power target and NVIDIA GPU deployments position the company at the intersection of AI infrastructure demand [2].</w:t>
      </w:r>
    </w:p>
    <w:p>
      <w:pPr>
        <w:spacing w:after="120"/>
      </w:pPr>
      <w:r>
        <w:rPr>
          <w:rFonts w:ascii="Calibri" w:hAnsi="Calibri"/>
          <w:b w:val="0"/>
          <w:color w:val="3A4A28"/>
          <w:sz w:val="20"/>
        </w:rPr>
        <w:t>However, fundamental concerns overwhelm the growth narrative. The company trades at $0.12 per share with a $53 million market cap, ROE of -102%, and profit margin of -65%, reflecting a deeply unprofitable business [6]. SEC enforcement actions against founder Todd Ault III for misleading disclosures erode governance credibility [4]. The company competes against hyperscalers with effectively unlimited capital in a commoditizing market. Revenue quality is questionable — Q1 included $10 million from a litigation settlement and contributions from a recently-bankrupt subsidiary (Gresham Worldwide). The path to Q4 2026 profitability remains highly uncertain given the capital intensity of data center operations at this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scaling of Michigan data center to full 340 MW capacity could establish the company as a meaningful regional AI hosting provider [2]</w:t>
      </w:r>
    </w:p>
    <w:p>
      <w:pPr>
        <w:spacing w:before="40" w:after="40"/>
        <w:ind w:left="283"/>
      </w:pPr>
      <w:r>
        <w:rPr>
          <w:rFonts w:ascii="Calibri" w:hAnsi="Calibri"/>
          <w:b/>
          <w:color w:val="4A6B25"/>
          <w:sz w:val="20"/>
        </w:rPr>
        <w:t xml:space="preserve">2. </w:t>
      </w:r>
      <w:r>
        <w:rPr>
          <w:rFonts w:ascii="Calibri" w:hAnsi="Calibri"/>
          <w:b w:val="0"/>
          <w:color w:val="3A4A28"/>
          <w:sz w:val="20"/>
        </w:rPr>
        <w:t>Completion of non-core asset divestitures would simplify the corporate structure and potentially unlock value for the remaining AI infrastructure business [5]</w:t>
      </w:r>
    </w:p>
    <w:p>
      <w:pPr>
        <w:spacing w:before="40" w:after="40"/>
        <w:ind w:left="283"/>
      </w:pPr>
      <w:r>
        <w:rPr>
          <w:rFonts w:ascii="Calibri" w:hAnsi="Calibri"/>
          <w:b/>
          <w:color w:val="4A6B25"/>
          <w:sz w:val="20"/>
        </w:rPr>
        <w:t xml:space="preserve">3. </w:t>
      </w:r>
      <w:r>
        <w:rPr>
          <w:rFonts w:ascii="Calibri" w:hAnsi="Calibri"/>
          <w:b w:val="0"/>
          <w:color w:val="3A4A28"/>
          <w:sz w:val="20"/>
        </w:rPr>
        <w:t>Achievement of positive EBITDA by Q4 2026 as guided would represent a critical inflection point for investor confidence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 governance concerns from the 2023 enforcement action against founder Todd Ault III for misleading disclosures spanning 2016-2021 remain an overhang on institutional investor confidence [4]</w:t>
      </w:r>
    </w:p>
    <w:p>
      <w:pPr>
        <w:spacing w:before="40" w:after="40"/>
        <w:ind w:left="283"/>
      </w:pPr>
      <w:r>
        <w:rPr>
          <w:rFonts w:ascii="Calibri" w:hAnsi="Calibri"/>
          <w:b/>
          <w:color w:val="4A6B25"/>
          <w:sz w:val="20"/>
        </w:rPr>
        <w:t xml:space="preserve">2. </w:t>
      </w:r>
      <w:r>
        <w:rPr>
          <w:rFonts w:ascii="Calibri" w:hAnsi="Calibri"/>
          <w:b w:val="0"/>
          <w:color w:val="3A4A28"/>
          <w:sz w:val="20"/>
        </w:rPr>
        <w:t>Capital intensity of data center expansion at 340 MW requires significant financing that may further dilute the already micro-cap stock at $0.12 per share</w:t>
      </w:r>
    </w:p>
    <w:p>
      <w:pPr>
        <w:spacing w:before="40" w:after="40"/>
        <w:ind w:left="283"/>
      </w:pPr>
      <w:r>
        <w:rPr>
          <w:rFonts w:ascii="Calibri" w:hAnsi="Calibri"/>
          <w:b/>
          <w:color w:val="4A6B25"/>
          <w:sz w:val="20"/>
        </w:rPr>
        <w:t xml:space="preserve">3. </w:t>
      </w:r>
      <w:r>
        <w:rPr>
          <w:rFonts w:ascii="Calibri" w:hAnsi="Calibri"/>
          <w:b w:val="0"/>
          <w:color w:val="3A4A28"/>
          <w:sz w:val="20"/>
        </w:rPr>
        <w:t>Revenue quality risk — Q1 2026 revenue included $10 million from a one-time litigation settlement and contributions from recently-bankrupt Gresham Worldwide, raising sustainability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Hyperscale Data is positioned as an AI infrastructure provider through its data center operations, but the company is an undifferentiated hosting provider in a capital-intensive market dominated by well-funded hyperscalers (AWS, Azure, GCP). AI disruption risk comes not from AI replacing the business but from intense competition driving margins to zero for small players without scale advantages [2]. The crane services, lending, and hotel operations that still generate most revenue have mixed AI exposure. AI Opportunity (1/1): Alliance Cloud Services generates quantifiable revenue from AI GPU hosting through its Michigan facility NVIDIA deployments and cloud provider partnerships, placing the company in the AI value chain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Hyperscale Data Stockholder Letter from Executive Chairman, 2026</w:t>
      </w:r>
    </w:p>
    <w:p>
      <w:pPr>
        <w:spacing w:before="20" w:after="20"/>
        <w:ind w:left="170"/>
      </w:pPr>
      <w:r>
        <w:rPr>
          <w:rFonts w:ascii="Calibri" w:hAnsi="Calibri"/>
          <w:b/>
          <w:color w:val="4A6B25"/>
          <w:sz w:val="15"/>
        </w:rPr>
        <w:t xml:space="preserve">2. </w:t>
      </w:r>
      <w:r>
        <w:rPr>
          <w:rFonts w:ascii="Calibri" w:hAnsi="Calibri"/>
          <w:b w:val="0"/>
          <w:color w:val="3A4A28"/>
          <w:sz w:val="17"/>
        </w:rPr>
        <w:t>StockTitan — Hyperscale Data's Alliance Cloud Services expands collaboration with major cloud provider after NVIDIA GPU launch, 2026</w:t>
      </w:r>
    </w:p>
    <w:p>
      <w:pPr>
        <w:spacing w:before="20" w:after="20"/>
        <w:ind w:left="170"/>
      </w:pPr>
      <w:r>
        <w:rPr>
          <w:rFonts w:ascii="Calibri" w:hAnsi="Calibri"/>
          <w:b/>
          <w:color w:val="4A6B25"/>
          <w:sz w:val="15"/>
        </w:rPr>
        <w:t xml:space="preserve">3. </w:t>
      </w:r>
      <w:r>
        <w:rPr>
          <w:rFonts w:ascii="Calibri" w:hAnsi="Calibri"/>
          <w:b w:val="0"/>
          <w:color w:val="3A4A28"/>
          <w:sz w:val="17"/>
        </w:rPr>
        <w:t>Benzinga — Hyperscale Data Projects 80-100% Revenue Growth in 2026, March 2026</w:t>
      </w:r>
    </w:p>
    <w:p>
      <w:pPr>
        <w:spacing w:before="20" w:after="20"/>
        <w:ind w:left="170"/>
      </w:pPr>
      <w:r>
        <w:rPr>
          <w:rFonts w:ascii="Calibri" w:hAnsi="Calibri"/>
          <w:b/>
          <w:color w:val="4A6B25"/>
          <w:sz w:val="15"/>
        </w:rPr>
        <w:t xml:space="preserve">4. </w:t>
      </w:r>
      <w:r>
        <w:rPr>
          <w:rFonts w:ascii="Calibri" w:hAnsi="Calibri"/>
          <w:b w:val="0"/>
          <w:color w:val="3A4A28"/>
          <w:sz w:val="17"/>
        </w:rPr>
        <w:t>SEC — Charges against Ault Alliance, Inc. and former CEO Milton Charles Ault III for misleading disclosures, August 2023</w:t>
      </w:r>
    </w:p>
    <w:p>
      <w:pPr>
        <w:spacing w:before="20" w:after="20"/>
        <w:ind w:left="170"/>
      </w:pPr>
      <w:r>
        <w:rPr>
          <w:rFonts w:ascii="Calibri" w:hAnsi="Calibri"/>
          <w:b/>
          <w:color w:val="4A6B25"/>
          <w:sz w:val="15"/>
        </w:rPr>
        <w:t xml:space="preserve">5. </w:t>
      </w:r>
      <w:r>
        <w:rPr>
          <w:rFonts w:ascii="Calibri" w:hAnsi="Calibri"/>
          <w:b w:val="0"/>
          <w:color w:val="3A4A28"/>
          <w:sz w:val="17"/>
        </w:rPr>
        <w:t>PR Newswire — Todd Ault III intends to step down as officer, 2026</w:t>
      </w:r>
    </w:p>
    <w:p>
      <w:pPr>
        <w:spacing w:before="20" w:after="20"/>
        <w:ind w:left="170"/>
      </w:pPr>
      <w:r>
        <w:rPr>
          <w:rFonts w:ascii="Calibri" w:hAnsi="Calibri"/>
          <w:b/>
          <w:color w:val="4A6B25"/>
          <w:sz w:val="15"/>
        </w:rPr>
        <w:t xml:space="preserve">6. </w:t>
      </w:r>
      <w:r>
        <w:rPr>
          <w:rFonts w:ascii="Calibri" w:hAnsi="Calibri"/>
          <w:b w:val="0"/>
          <w:color w:val="3A4A28"/>
          <w:sz w:val="17"/>
        </w:rPr>
        <w:t>StockTitan — Hyperscale Data guides 2026 revenue to $180M-$200M,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