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GRAB</w:t>
      </w:r>
      <w:r>
        <w:rPr>
          <w:rFonts w:ascii="Calibri" w:hAnsi="Calibri"/>
          <w:b/>
          <w:color w:val="1A2010"/>
          <w:sz w:val="40"/>
        </w:rPr>
        <w:t xml:space="preserve">  Grab Holdings Limited</w:t>
      </w:r>
    </w:p>
    <w:p>
      <w:pPr>
        <w:spacing w:after="120"/>
      </w:pPr>
      <w:r>
        <w:rPr>
          <w:rFonts w:ascii="Calibri" w:hAnsi="Calibri"/>
          <w:b/>
          <w:color w:val="6E8450"/>
          <w:sz w:val="18"/>
        </w:rPr>
        <w:t>GROWTH SLEEVE · 2026-03-23 · Inspire: 47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Grab Holdings operates Southeast Asia's leading superapp platform spanning ride-hailing, food delivery, digital payments, and financial services across eight countries. The company achieved its first full-year profit in 2025 and serves hundreds of millions of users through an integrated ecosystem.</w:t>
      </w:r>
    </w:p>
    <w:p>
      <w:r>
        <w:rPr>
          <w:rFonts w:ascii="Calibri" w:hAnsi="Calibri"/>
          <w:b/>
          <w:color w:val="6E8450"/>
          <w:sz w:val="18"/>
        </w:rPr>
        <w:t>12,012 Employees · https://www.grab.com/sg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Grab has aggressively embedded AI across its operations, with 98% of engineers using AI-assisted coding and a company-wide nine-week generative AI sprint producing customer-facing features [1]. The company's expansion into financial services saw its gross loan portfolio surpass $1.3 billion, and it is piloting autonomous robobuses for 2027 launch [2]. R&amp;D intensity is high relative to Southeast Asian peers, with continuous platform innovation driving 21% YoY On-Demand GMV growth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Anthony Tan's mission of driving economic empowerment across Southeast Asia resonates strongly — driver- and merchant-partners earned $12.8 billion on the platform in 2024, with 99%+ meeting local minimum wage thresholds [3]. Grab doubled the number of active persons with disabilities on its platform to 5,140 ahead of schedule, and its Women Passengers Preferred feature demonstrates genuine social impact [3]. Insider commitment is evidenced by the new $500 million buyback program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Grab trades at a forward P/E of 24.3x on thin 7.9% profit margins, with ROE of just 3.1% reflecting the early-stage profitability of the superapp model [2]. Revenue growth of 18.6% YoY is strong, but the company carries a D/E ratio of 23.6%, and adjusted free cash flow of $290 million for 2025 is modest relative to its $14.6 billion market cap [1]. The stock trades 16% below its 50-day SMA, indicating near-term momentum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Grab exhibits strong infinite game characteristics through its mission to drive Southeast Asian economic empowerment, willingness to invest in long-term platforms like financial services (not expected to break even until H2 2026), and a culture that prioritizes ecosystem value creation over short-term extraction [1][3].</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Grab's mission to drive economic empowerment across Southeast Asia — enabling $12.8 billion in partner earnings and expanding financial inclusion through a $1.3 billion loan portfolio — represents a clear just cause that transcends quarterly metrics [1][3].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AI sprint culture, cross-functional collaboration championed by COO Alex Hungate, and appointment of a dedicated Chief People Officer in 2024 signal investment in team trust and development [2]. Glassdoor reviews indicate generally positive employee sentiment.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Grab successfully competed against Uber in Southeast Asia, forcing Uber's exit, and now competes constructively with GoTo, Sea Limited, and traditional banks, using competition to sharpen its superapp and fintech offerings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Grab's pivot from ride-hailing to a full superapp encompassing delivery, payments, lending, and insurance demonstrates exceptional existential flexibility, with autonomous vehicle pilots showing willingness to disrupt its own driver model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financial services that won't break even until H2 2026 while simultaneously pursuing autonomous vehicles that could disrupt its driver base shows courage to make difficult long-term bets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Grab is the dominant superapp in Southeast Asia with a $14.6 billion market cap, approaching an inflection point where revenue growth of 20-22% in 2026 combines with 40-44% adjusted EBITDA growth to $700-720 million, targeting a tripling of EBITDA to $1.5 billion by 2028 [1]. The financial services segment is scaling rapidly with a $1.3 billion gross loan portfolio, and AI integration across 98% of engineering workflows positions Grab to expand margins while competitors struggle with fragmented markets. The $500 million buyback signals management confidence in the stock's undervaluation.</w:t>
      </w:r>
    </w:p>
    <w:p>
      <w:pPr>
        <w:spacing w:after="120"/>
      </w:pPr>
      <w:r>
        <w:rPr>
          <w:rFonts w:ascii="Calibri" w:hAnsi="Calibri"/>
          <w:b w:val="0"/>
          <w:color w:val="3A4A28"/>
          <w:sz w:val="20"/>
        </w:rPr>
        <w:t>Key bear case risks include Southeast Asia's exposure to global trade tensions and currency volatility, particularly given Grab's Singapore-dollar reporting across eight diverse economies. The financial services ramp carries credit risk in emerging markets, and the stock's 59x trailing P/E demands sustained execution on growth targets. Competition from GoTo, Sea Limited, and traditional banks could pressure take rates, while the robobus initiative requires significant capital with uncertain regulatory timelines across multiple jurisdictions.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services segment expected to reach EBITDA breakeven in H2 2026, potentially unlocking a re-rating of the fintech embedded value</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$4.04-4.10 billion with 40-44% adjusted EBITDA growth could drive earnings upgrades through the year</w:t>
      </w:r>
    </w:p>
    <w:p>
      <w:pPr>
        <w:spacing w:before="40" w:after="40"/>
        <w:ind w:left="283"/>
      </w:pPr>
      <w:r>
        <w:rPr>
          <w:rFonts w:ascii="Calibri" w:hAnsi="Calibri"/>
          <w:b/>
          <w:color w:val="4A6B25"/>
          <w:sz w:val="20"/>
        </w:rPr>
        <w:t xml:space="preserve">3. </w:t>
      </w:r>
      <w:r>
        <w:rPr>
          <w:rFonts w:ascii="Calibri" w:hAnsi="Calibri"/>
          <w:b w:val="0"/>
          <w:color w:val="3A4A28"/>
          <w:sz w:val="20"/>
        </w:rPr>
        <w:t>Autonomous robobus pilot launch in 2027 could position Grab as the first-mover in SE Asian autonomous mobility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Currency headwinds across eight SE Asian markets could erode reported growth, with constant-currency growth already 2pp below nominal in Q4 2025</w:t>
      </w:r>
    </w:p>
    <w:p>
      <w:pPr>
        <w:spacing w:before="40" w:after="40"/>
        <w:ind w:left="283"/>
      </w:pPr>
      <w:r>
        <w:rPr>
          <w:rFonts w:ascii="Calibri" w:hAnsi="Calibri"/>
          <w:b/>
          <w:color w:val="4A6B25"/>
          <w:sz w:val="20"/>
        </w:rPr>
        <w:t xml:space="preserve">2. </w:t>
      </w:r>
      <w:r>
        <w:rPr>
          <w:rFonts w:ascii="Calibri" w:hAnsi="Calibri"/>
          <w:b w:val="0"/>
          <w:color w:val="3A4A28"/>
          <w:sz w:val="20"/>
        </w:rPr>
        <w:t>Credit losses in the $1.3 billion loan portfolio could accelerate in an economic downturn, as borrowers are typically gig workers and SMEs with variable income</w:t>
      </w:r>
    </w:p>
    <w:p>
      <w:pPr>
        <w:spacing w:before="40" w:after="40"/>
        <w:ind w:left="283"/>
      </w:pPr>
      <w:r>
        <w:rPr>
          <w:rFonts w:ascii="Calibri" w:hAnsi="Calibri"/>
          <w:b/>
          <w:color w:val="4A6B25"/>
          <w:sz w:val="20"/>
        </w:rPr>
        <w:t xml:space="preserve">3. </w:t>
      </w:r>
      <w:r>
        <w:rPr>
          <w:rFonts w:ascii="Calibri" w:hAnsi="Calibri"/>
          <w:b w:val="0"/>
          <w:color w:val="3A4A28"/>
          <w:sz w:val="20"/>
        </w:rPr>
        <w:t>Regulatory fragmentation across eight countries creates compliance burden, with Indonesia and Philippines tightening ride-hailing and fintech regulations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core enabler for Grab, not a threat. CEO Tan mandated a company-wide AI sprint and stated 'humans who don't embrace AI will be replaced by humans who embrace AI' [2]. Over 98% of engineers use AI-assisted coding, speech recognition accuracy improved from 46% to 90% using AI, and the company is actively pursuing autonomous vehicle deployment [2]. AI powers pricing optimization, fraud detection, and personalized recommendations across the superapp.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Grab Holdings Q4 FY2025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GRAB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Grab ESG Progress Report 2024, published January 2025</w:t>
      </w:r>
    </w:p>
    <w:p>
      <w:pPr>
        <w:spacing w:before="20" w:after="20"/>
        <w:ind w:left="170"/>
      </w:pPr>
      <w:r>
        <w:rPr>
          <w:rFonts w:ascii="Calibri" w:hAnsi="Calibri"/>
          <w:b/>
          <w:color w:val="4A6B25"/>
          <w:sz w:val="15"/>
        </w:rPr>
        <w:t xml:space="preserve">4. </w:t>
      </w:r>
      <w:r>
        <w:rPr>
          <w:rFonts w:ascii="Calibri" w:hAnsi="Calibri"/>
          <w:b w:val="0"/>
          <w:color w:val="3A4A28"/>
          <w:sz w:val="17"/>
        </w:rPr>
        <w:t>CNBC — 'Humans who don't embrace AI will be replaced by AI': Grab co-founder, March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