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GRAL</w:t>
      </w:r>
      <w:r>
        <w:rPr>
          <w:rFonts w:ascii="Calibri" w:hAnsi="Calibri"/>
          <w:b/>
          <w:color w:val="1A2010"/>
          <w:sz w:val="40"/>
        </w:rPr>
        <w:t xml:space="preserve">  GRAIL, Inc.</w:t>
      </w:r>
    </w:p>
    <w:p>
      <w:pPr>
        <w:spacing w:after="120"/>
      </w:pPr>
      <w:r>
        <w:rPr>
          <w:rFonts w:ascii="Calibri" w:hAnsi="Calibri"/>
          <w:b/>
          <w:color w:val="6E8450"/>
          <w:sz w:val="18"/>
        </w:rPr>
        <w:t>GROWTH SLEEVE · 2026-04-30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GRAIL, Inc. is a commercial-stage healthcare company focused on multi-cancer early detection (MCED) testing. Its flagship product, Galleri, is a blood-based screening test that can detect over 50 types of cancer, many of which have no recommended screening today. The company uses next-generation sequencing, population-scale clinical studies, and advanced computational biology to detect cancer signals in cell-free DNA.</w:t>
      </w:r>
    </w:p>
    <w:p>
      <w:r>
        <w:rPr>
          <w:rFonts w:ascii="Calibri" w:hAnsi="Calibri"/>
          <w:b/>
          <w:color w:val="6E8450"/>
          <w:sz w:val="18"/>
        </w:rPr>
        <w:t>910 Employees · https://grail.com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 pts): GRAIL has pioneered multi-cancer early detection, developing the Galleri test from concept through commercialization with 185,000+ tests sold in 2025, creating an entirely new category in cancer screening [1]. AI Deployment (2 pts): The Galleri test is fundamentally AI-powered — using machine learning classifiers on cell-free DNA methylation patterns to detect cancer signals across 50+ cancer types, with the algorithm continuously refined through population-scale clinical data [2]. Market Share Leadership (2 pts): GRAIL is the undisputed leader in MCED testing with no approved competitor at comparable scale; Galleri is the first-to-market multi-cancer blood test [1]. Product Pipeline (0 pts): The key NHS-Galleri trial produced mixed results in February 2026, with shares falling 50% on data showing the test fell short in the large screening study, clouding the pipeline [1]. R&amp;D Intensity (1 pt): R&amp;D spending is extremely high relative to revenue — the company spent approximately $408M in net losses against $147M revenue in 2025, with substantial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GRAIL's mission to detect cancer early when it can be cured is deeply cause-driven and transformative — if successful, it would fundamentally change cancer outcomes for millions, earning a mission floor of 4 [2]. Community &amp; Charitable Impact (1 pt): The Superpower partnership and direct-to-patient access programs demonstrate commitment to democratizing cancer screening beyond traditional healthcare channels [1]. Employee Retention (0 pts): Glassdoor rating of 2.9/5 for culture and values with reports of 'toxicity,' 'favoritism and politics,' and burnout from RIF-driven workload redistribution is concerning for a mission-driven company [2]. Insider Buying (0 pts): Net insider selling of 1.18M shares versus only 146,841 shares purchased in the last 6 months signals weak management conviction at current prices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scoring reflects high-growth but deeply unprofitable pre-commercial-scale company. D/E of 2.1% scores 1.00 (near-zero leverage with $904M cash), ROE of -16.1% scores 0.00 (deeply negative), YoY revenue growth of 14% scores 1.00, 3yr revenue CAGR of ~38% scores 1.00 (2x weight), Forward P/E of -5.9x scores 0.00 (unprofitable), profit margin of -277.5% scores 0.00 [1][3]. PEG unavailable (excluded). Weighted sum 4.0/8 = Infrastructure 5. Cash position of $904.4M provides runway into 2030 and is a key strength not captured in the scoring algorithm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GRAIL has a transformative Just Cause in early cancer detection, but the organization's culture dysfunction, insider selling, and trial setbacks reveal a company under pressure to deliver near-term commercial validation rather than playing the long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Detecting cancer early when it can be cured is one of the most compelling Just Causes in healthcare — it is resilient, inclusive, service-oriented, idealistic, and big in exactly the ways Sinek describes [2]. The cause attracts passionate employees and inspires patients. Score: 2 points — genuine cause, partially lived. It falls short of 3 because the cause has not yet been validated by decades of execution (GRAIL was founded in 2016) and the mixed NHS-Galleri trial results raise questions about whether the technology can fully deliver on the promise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an A+ CEO rating on Comparably, Glassdoor tells a different story: 2.9/5 culture and values, 2.6/5 career opportunities, with employees reporting 'toxicity,' 'favoritism and politics,' and burnout from RIF-driven workload increases without adjusted targets [2]. The disconnect between the transformative mission and the internal culture suggests leadership has not created the Circle of Safety that Sinek considers essential. Score: 0 points — low-trust environment with evidence of political culture and burnout.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GRAIL faces competition from Exact Sciences, Guardant Health, and Illumina in the liquid biopsy and early cancer detection space, but no evidence of management language acknowledging competitors' strengths or using competitive dynamics for self-improvement [1]. The company's communications focus on its first-mover position rather than learning from rivals. Score: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GRAIL's pivot from Illumina subsidiary to independent publicly traded company (spun out in 2024) demonstrated existential flexibility, and the company has adapted its go-to-market strategy from pure clinical channels to include direct-to-consumer partnerships like Superpower [1]. However, the company remains a single-product company dependent on Galleri, which limits the degree of strategic flexibility. Score: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FDA PMA approval for a novel MCED test — a regulatory pathway with no precedent — demonstrates genuine leadership courage [1]. The company continues to invest heavily ($400M+ annual losses) to build clinical evidence while commercializing Galleri pre-approval. However, the mixed NHS-Galleri trial results and resulting 50% stock decline test whether leadership can sustain conviction through adversity [1]. Score: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GRAIL is the undisputed pioneer in multi-cancer early detection, with Galleri generating $147.2M revenue in 2025 (17% growth) from 185,000+ tests sold, and 22-32% revenue growth guided for 2026 [1]. The FDA PMA submission was completed in January 2026, and an approval decision would be transformative — unlocking Medicare/Medicaid reimbursement and potentially expanding the addressable market from self-pay consumers to 100M+ screening-eligible Americans. The $904M cash position provides runway into 2030, and near-zero leverage (D/E 2.1%) gives the company financial flexibility to weather pre-profitability investment.</w:t>
      </w:r>
    </w:p>
    <w:p>
      <w:pPr>
        <w:spacing w:after="120"/>
      </w:pPr>
      <w:r>
        <w:rPr>
          <w:rFonts w:ascii="Calibri" w:hAnsi="Calibri"/>
          <w:b w:val="0"/>
          <w:color w:val="3A4A28"/>
          <w:sz w:val="20"/>
        </w:rPr>
        <w:t>The bear case is severe: the NHS-Galleri trial produced mixed results in February 2026, sending shares down 50% and raising fundamental questions about Galleri's clinical utility in population-level screening [1]. The company lost $408.4M in 2025 against $147.2M revenue, and with a profit margin of -277%, the path to profitability requires massive revenue scale that is uncertain without FDA approval and payer reimbursement. Net insider selling of 1.18M shares signals weak management conviction at current prices. Glassdoor culture ratings of 2.9/5 suggest the mission-driven workforce is burning out under financial pressure and organizational dysfunction [2]. Competitor MCED tests from Exact Sciences and Guardant Health could erode GRAIL's first-mover advantage before FDA approval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PMA decision on Galleri expected in 2026-2027, which would be the first-ever regulatory approval of a multi-cancer early detection test and unlock Medicare reimbursement for population-scale screening [1]</w:t>
      </w:r>
    </w:p>
    <w:p>
      <w:pPr>
        <w:spacing w:before="40" w:after="40"/>
        <w:ind w:left="283"/>
      </w:pPr>
      <w:r>
        <w:rPr>
          <w:rFonts w:ascii="Calibri" w:hAnsi="Calibri"/>
          <w:b/>
          <w:color w:val="4A6B25"/>
          <w:sz w:val="20"/>
        </w:rPr>
        <w:t xml:space="preserve">2. </w:t>
      </w:r>
      <w:r>
        <w:rPr>
          <w:rFonts w:ascii="Calibri" w:hAnsi="Calibri"/>
          <w:b w:val="0"/>
          <w:color w:val="3A4A28"/>
          <w:sz w:val="20"/>
        </w:rPr>
        <w:t>2026 revenue growth guidance of 22-32% implies $179-194M in Galleri revenue, driven by expanding physician adoption and direct-to-consumer channels like the Superpower partnership [1]</w:t>
      </w:r>
    </w:p>
    <w:p>
      <w:pPr>
        <w:spacing w:before="40" w:after="40"/>
        <w:ind w:left="283"/>
      </w:pPr>
      <w:r>
        <w:rPr>
          <w:rFonts w:ascii="Calibri" w:hAnsi="Calibri"/>
          <w:b/>
          <w:color w:val="4A6B25"/>
          <w:sz w:val="20"/>
        </w:rPr>
        <w:t xml:space="preserve">3. </w:t>
      </w:r>
      <w:r>
        <w:rPr>
          <w:rFonts w:ascii="Calibri" w:hAnsi="Calibri"/>
          <w:b w:val="0"/>
          <w:color w:val="3A4A28"/>
          <w:sz w:val="20"/>
        </w:rPr>
        <w:t>Additional clinical data from PATHFINDER 2 and other studies could rehabilitate the Galleri narrative after the mixed NHS-Galleri trial results, particularly if real-world detection rates align with prior CCGA study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Mixed NHS-Galleri trial results in February 2026 showed the test fell short in a large population-level screening study, raising fundamental questions about Galleri's sensitivity and positive predictive value that could delay or prevent FDA approval [1]</w:t>
      </w:r>
    </w:p>
    <w:p>
      <w:pPr>
        <w:spacing w:before="40" w:after="40"/>
        <w:ind w:left="283"/>
      </w:pPr>
      <w:r>
        <w:rPr>
          <w:rFonts w:ascii="Calibri" w:hAnsi="Calibri"/>
          <w:b/>
          <w:color w:val="4A6B25"/>
          <w:sz w:val="20"/>
        </w:rPr>
        <w:t xml:space="preserve">2. </w:t>
      </w:r>
      <w:r>
        <w:rPr>
          <w:rFonts w:ascii="Calibri" w:hAnsi="Calibri"/>
          <w:b w:val="0"/>
          <w:color w:val="3A4A28"/>
          <w:sz w:val="20"/>
        </w:rPr>
        <w:t>Annual net losses of $408.4M against $147.2M revenue represent a -277% profit margin, and without FDA approval and payer reimbursement, the company may require additional dilutive capital raises beyond its current $904M cash position [1]</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1.18M shares in the last 6 months, combined with Glassdoor culture ratings of 2.9/5, suggests internal confidence is weakening at a critical moment in the company's commercialization journey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GRAIL occupies a unique position in the AI resilience framework — the company IS an AI-enabled healthcare platform, using machine learning on cfDNA methylation data as its core technology [2]. AI is not a disruption risk but the foundational enabler. However, AI also creates competitive risk: larger diagnostics companies (Illumina, Exact Sciences, Guardant Health) with substantial AI/ML capabilities could develop competing MCED tests. The company's moat is its proprietary training data from population-scale clinical trials (PATHFINDER, NHS-Galleri) rather than the ML algorithms themselves. Score: 6 points for AI Risk Protection (PROTECTED — but competitive AI risk from deep-pocketed diagnostics peers), 1 for AI Opportunity (Galleri is fundamentally an AI-powered product generating $147M revenue in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GRAIL Q4 2025 and Full-Year 2025 Earnings Release, NHS-Galleri Trial Results, and FDA PMA Submission — GenomeWeb, STAT News, MedTech Dive,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GRAIL Leadership Team, Glassdoor Reviews, Comparably Ratings, and Insider Transaction Data — glassdoor.com, comparably.com, Yahoo Finance,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GRAIL ESG Framework and Company Website — grail.com,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