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GRML</w:t>
      </w:r>
      <w:r>
        <w:rPr>
          <w:rFonts w:ascii="Calibri" w:hAnsi="Calibri"/>
          <w:b/>
          <w:color w:val="1A2010"/>
          <w:sz w:val="40"/>
        </w:rPr>
        <w:t xml:space="preserve">  Greenland Mines Ltd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Other Precious Metals &amp; Mining · NCM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Greenland Mines Ltd is a micro-cap mining exploration company focused on precious metals in Greenland.</w:t>
      </w:r>
    </w:p>
    <w:p>
      <w:r>
        <w:rPr>
          <w:rFonts w:ascii="Calibri" w:hAnsi="Calibri"/>
          <w:b/>
          <w:color w:val="6E8450"/>
          <w:sz w:val="18"/>
        </w:rPr>
        <w:t>https://greenlandmines.com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No meaningful operations, revenue, or product launches [1]. AI Deployment (0/2): None. Market Share (0/2): Negligible. Pipeline (0/2): Exploration stage. R&amp;D Intensity (1/1): Exploration spending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Generic mining mission. Community (0/2): None. Retention (0/2): 0 employees. Insider (0/2): None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3,570,346 × $0.314 = $1.12M, barely above floor. Underlying metrics abysmal: ROE of -198.2%, profit margin 0%, no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Shell company with no operations.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(0→1)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(0→3)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GRML is an exploration-stage mining shell with no revenue, employees, or meaningful operations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Uninvestable for IOWN purposes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Mineral discovery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Partnership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Commodity price rally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No revenue or operations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Dilution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Delisting risk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Mining exploration is physical-world activity immune to AI displacement [1]. AI Opportunity (0/1): None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GRML (Greenland Mines),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