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GROY</w:t>
      </w:r>
      <w:r>
        <w:rPr>
          <w:rFonts w:ascii="Calibri" w:hAnsi="Calibri"/>
          <w:b/>
          <w:color w:val="1A2010"/>
          <w:sz w:val="40"/>
        </w:rPr>
        <w:t xml:space="preserve">  Gold Royalty Corp.</w:t>
      </w:r>
    </w:p>
    <w:p>
      <w:pPr>
        <w:spacing w:after="120"/>
      </w:pPr>
      <w:r>
        <w:rPr>
          <w:rFonts w:ascii="Calibri" w:hAnsi="Calibri"/>
          <w:b/>
          <w:color w:val="6E8450"/>
          <w:sz w:val="18"/>
        </w:rPr>
        <w:t>GROWTH SLEEVE · 2026-04-08 · Inspire: 36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ASE · Canada</w:t>
      </w:r>
    </w:p>
    <w:p>
      <w:pPr>
        <w:spacing w:after="80"/>
      </w:pPr>
      <w:r>
        <w:rPr>
          <w:rFonts w:ascii="Calibri" w:hAnsi="Calibri"/>
          <w:b w:val="0"/>
          <w:color w:val="3A4A28"/>
          <w:sz w:val="20"/>
        </w:rPr>
        <w:t>Gold Royalty Corp. is a precious metals royalty and streaming company focused on acquiring royalties on gold and gold-equivalent mineral properties in the Americas. Founded in 2020 and listed on NYSE American, GROY has assembled a portfolio of over 230 royalties, primarily in low-risk jurisdictions across Canada, the United States, Mexico, and Brazil. The company operates a capital-light, high-margin business model by providing upfront financing to mining operators in exchange for royalty interests — entitling GROY to a percentage of future production revenues without bearing ongoing operating costs. Key royalty assets include interests in Newmont's Borden (Porcupine), IAMGOLD's Côté Gold, Capstone Copper's Cozamin, Borborema, and Pedra Branca mines [1][2].</w:t>
      </w:r>
    </w:p>
    <w:p>
      <w:r>
        <w:rPr>
          <w:rFonts w:ascii="Calibri" w:hAnsi="Calibri"/>
          <w:b/>
          <w:color w:val="6E8450"/>
          <w:sz w:val="18"/>
        </w:rPr>
        <w:t>https://www.goldroyalty.com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Royalty has demonstrated a credible track record of portfolio construction, assembling 230+ royalties in under five years and adding cash-flowing interests at Pedra Branca and Borborema in late 2025 and early 2026 [1][2]. The company's 2030 GEO outlook of 28,000–34,000 units from existing assets — a ~5-6x increase from 2025 — reflects meaningful pipeline depth and disciplined acquisition execution targeting development-stage royalties that larger peers overlook [1]. However, as a capital allocator rather than an operator, the royalty model inherently limits innovation metrics: there is no R&amp;D expenditure, no AI deployment, and market share remains small relative to Franco-Nevada, Wheaton Precious Metals, and Royal Gold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Garofalo has articulated a consistent long-term vision of building a premier precious metals royalty company with compounding cash flows through 2030, providing directional purpose beyond near-term financial metrics [2]. The company incorporated ESG requirements — including energy management, ethical supply chain management, and GHG emissions oversight — into all new royalty financing proposals, earning an Inspire ALIGNED rating with a score of 36 and reflecting mission authenticity beyond investor returns [4]. Management continuity is positive, though the absence of direct employees (operations run through a management services agreement) limits visibility into team culture, retention practices, and insider buying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GROY's balance sheet is fortress-grade: debt-to-equity of just 0.014%, over $12M cash, positive operating cash flow of $6.2M, and an undrawn $150M credit facility at year-end 2025 [1][2]. Revenue growth is the standout metric: 34.2% year-over-year to a record $15.6M in 2025, with a 3-year CAGR of approximately 58% (2022–2025) as royalties at Côté Gold, Cozamin, Borborema, and Pedra Branca came online [1]. Offsetting these strengths are a negative profit margin (-26.5%), negative ROE (-0.66%), and a forward P/E of 28.87x that prices in future growth — the mechanical infra score of 6 reflects strong balance sheet and revenue trajectory against not-yet-achieved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Gold Royalty demonstrates a predominantly infinite-game orientation — building a generational royalty portfolio designed to compound over decades rather than optimize for near-term earnings. The company's 2030 GEO outlook projecting ~490% growth from existing assets reflects long-horizon strategic planning, and management's willingness to sustain GAAP losses while building structural royalty income streams signals conviction over quarterly optics [1][2]. Existential flexibility is a standout strength: GROY restructured from a development-stage mining mindset into a pure-play royalty aggregator and has continued adapting portfolio composition through creative deal structures in 2025 and 2026 [1].</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Royalty's just cause — democratizing access to gold royalty economics for investors while channeling capital to responsible mining operators — is meaningful and differentiated from pure commodity speculation [2][4]. The company's Inspire ALIGNED rating and explicit ESG commitments embedded into all new financing proposals suggest a mission that extends beyond shareholder returns, though more vivid and consistent external communication of this cause would strengthen the score further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through a management services agreement with an affiliated entity rather than direct employees, GROY's team structure is unconventional and limits visibility into internal culture and psychological safety norms [1][2]. The lean, founder-proximate leadership team has delivered consistent execution on the royalty acquisition strategy, and equity alignment of key personnel is positive, but the arms-length employment model and absence of workforce disclosures make a definitive trust-in-teams assessment difficult.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Royalty explicitly benchmarks itself against sector giants Franco-Nevada, Wheaton Precious Metals, and Royal Gold, and has carved a deliberate strategy of targeting earlier-stage royalties that these larger peers cannot efficiently pursue at their scale [2][3]. Management frequently references the size and deal-quality standards of senior royalty companies as aspirational targets, signaling healthy competitive awareness and a learner's orientation toward best-in-class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Since inception in 2020, GROY has demonstrated exceptional willingness to reshape itself: transitioning from a mining development orientation to a pure royalty aggregator, restructuring revenue mix across jurisdictions and commodity types, and adding immediately cash-flowing royalties at Pedra Branca and Borborema in late 2025 and early 2026 to accelerate the path to profitability [1][2]. These moves show management actively refreshing portfolio composition in response to capital market conditions and portfolio maturation — a defining characteristic of an existentially flexible organization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GROY has shown measured courage by entering royalty deals on development-stage mines at higher royalty rates in exchange for higher execution risk — a contrarian stance relative to the conservative deal criteria of senior royalty peers [2][3]. The company's willingness to sustain GAAP losses while building a structural royalty income base reflects conviction in the aggregation thesis, and ESG integration into deal evaluation — potentially excluding some opportunities — is a principled leadership stance in a sector not known for it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 Royalty Corp. is a compelling early-stage royalty aggregator positioned to benefit from rising gold prices, a maturing portfolio of cash-flowing royalties, and a 2030 GEO outlook of 28,000–34,000 ounces representing nearly 5x current production — all from existing assets without requiring additional capital deployment [1][2]. The company reported record 2025 revenue of $15.6M (up 34% year-over-year), positive operating cash flow of $6.2M, and Adjusted EBITDA of $9.75M, signaling the business is approaching the operational leverage inflection point characteristic of successful royalty model maturation [1]. Trading at $3.58 with a consensus analyst price target of $6.00 (implying ~80% upside), GROY offers leveraged exposure to gold prices via a capital-light, debt-free royalty platform diversified across 230+ royalty interests [3].</w:t>
      </w:r>
    </w:p>
    <w:p>
      <w:pPr>
        <w:spacing w:after="120"/>
      </w:pPr>
      <w:r>
        <w:rPr>
          <w:rFonts w:ascii="Calibri" w:hAnsi="Calibri"/>
          <w:b w:val="0"/>
          <w:color w:val="3A4A28"/>
          <w:sz w:val="20"/>
        </w:rPr>
        <w:t>The royalty model's structural advantages — no ongoing operating cost exposure, fixed royalty rates that benefit from commodity price appreciation, and portfolio diversification across operators and geographies — make GROY an asymmetric gold exposure vehicle for growth-oriented investors [2][3]. Key near-term value drivers include the ramp-up of IAMGOLD's Côté Gold mine (one of Canada's largest new gold mines), revenue contributions from newly acquired Borborema and Pedra Branca royalties, and continued gold price strength driven by macro uncertainty and central bank demand [1][2]. The primary risk is the time horizon required for development-stage royalties to reach production — GROY must sustain operations through negative GAAP earnings until royalty revenue scales, requiring confidence in management's capital allocation discipline and the $150M undrawn credit facility as durability buffer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Côté Gold mine ramp-up and new Borborema/Pedra Branca royalty contributions driving toward 2026 GEO guidance of 7,500–9,300 (mid-point &gt;60% growth over 2025), validating the 2030 roadmap [1][2]</w:t>
      </w:r>
    </w:p>
    <w:p>
      <w:pPr>
        <w:spacing w:before="40" w:after="40"/>
        <w:ind w:left="283"/>
      </w:pPr>
      <w:r>
        <w:rPr>
          <w:rFonts w:ascii="Calibri" w:hAnsi="Calibri"/>
          <w:b/>
          <w:color w:val="4A6B25"/>
          <w:sz w:val="20"/>
        </w:rPr>
        <w:t xml:space="preserve">2. </w:t>
      </w:r>
      <w:r>
        <w:rPr>
          <w:rFonts w:ascii="Calibri" w:hAnsi="Calibri"/>
          <w:b w:val="0"/>
          <w:color w:val="3A4A28"/>
          <w:sz w:val="20"/>
        </w:rPr>
        <w:t>Gold price appreciation amplifying royalty revenue directly, with GROY's interests providing uncapped upside to gold price without bearing operating cost inflation at partner mines [1][3]</w:t>
      </w:r>
    </w:p>
    <w:p>
      <w:pPr>
        <w:spacing w:before="40" w:after="40"/>
        <w:ind w:left="283"/>
      </w:pPr>
      <w:r>
        <w:rPr>
          <w:rFonts w:ascii="Calibri" w:hAnsi="Calibri"/>
          <w:b/>
          <w:color w:val="4A6B25"/>
          <w:sz w:val="20"/>
        </w:rPr>
        <w:t xml:space="preserve">3. </w:t>
      </w:r>
      <w:r>
        <w:rPr>
          <w:rFonts w:ascii="Calibri" w:hAnsi="Calibri"/>
          <w:b w:val="0"/>
          <w:color w:val="3A4A28"/>
          <w:sz w:val="20"/>
        </w:rPr>
        <w:t>Portfolio re-rating toward established royalty company multiples as GEO volume scales — 90% of analysts bullish with $6.00 consensus price target implying ~80% upside from current levels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Development-stage mine delays or operator failures at key royalty assets (Côté, Borborema, Cozamin, Borden) could push back the production timeline and extend the path to GAAP profitability beyond current expectations [1][2]</w:t>
      </w:r>
    </w:p>
    <w:p>
      <w:pPr>
        <w:spacing w:before="40" w:after="40"/>
        <w:ind w:left="283"/>
      </w:pPr>
      <w:r>
        <w:rPr>
          <w:rFonts w:ascii="Calibri" w:hAnsi="Calibri"/>
          <w:b/>
          <w:color w:val="4A6B25"/>
          <w:sz w:val="20"/>
        </w:rPr>
        <w:t xml:space="preserve">2. </w:t>
      </w:r>
      <w:r>
        <w:rPr>
          <w:rFonts w:ascii="Calibri" w:hAnsi="Calibri"/>
          <w:b w:val="0"/>
          <w:color w:val="3A4A28"/>
          <w:sz w:val="20"/>
        </w:rPr>
        <w:t>Gold price reversal would directly compress royalty revenues and could impair equity value of royalty interests on development-stage assets where project economics depend on sustained higher gold prices [2][3]</w:t>
      </w:r>
    </w:p>
    <w:p>
      <w:pPr>
        <w:spacing w:before="40" w:after="40"/>
        <w:ind w:left="283"/>
      </w:pPr>
      <w:r>
        <w:rPr>
          <w:rFonts w:ascii="Calibri" w:hAnsi="Calibri"/>
          <w:b/>
          <w:color w:val="4A6B25"/>
          <w:sz w:val="20"/>
        </w:rPr>
        <w:t xml:space="preserve">3. </w:t>
      </w:r>
      <w:r>
        <w:rPr>
          <w:rFonts w:ascii="Calibri" w:hAnsi="Calibri"/>
          <w:b w:val="0"/>
          <w:color w:val="3A4A28"/>
          <w:sz w:val="20"/>
        </w:rPr>
        <w:t>Execution risk in royalty acquisition pipeline — competition from better-capitalized senior royalty companies for quality assets may compress deal economics and GROY must continue sourcing accretive deals to justify its growth premium valuation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royalty streaming business model is among the most AI-resistant structures in natural resources — GROY's economic value derives from contractual royalty interests on mineral production, a legal and financial construct that AI cannot disrupt, automate away, or render obsolete [2][3]. Gold's role as a monetary hedge and store of value is unaffected by AI; productivity improvements at royalty partner mines driven by AI would actually be net positive for GROY by improving project economics and mine life without any cost exposure to GROY [1]. The primary AI-related opportunity is modest: machine learning tools for royalty deal screening and geological data analysis could improve acquisition quality, but the competitive moat rests on deal-sourcing relationships and financial structuring expertise rather than proprietary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 Royalty Corp. Press Release: 'Gold Royalty Reports Record Annual Revenue and Operating Cash Flows for 2025 and Strong Outlook for Growth Through 2030', PR Newswire / Yahoo Finance, March 2026</w:t>
      </w:r>
    </w:p>
    <w:p>
      <w:pPr>
        <w:spacing w:before="20" w:after="20"/>
        <w:ind w:left="170"/>
      </w:pPr>
      <w:r>
        <w:rPr>
          <w:rFonts w:ascii="Calibri" w:hAnsi="Calibri"/>
          <w:b/>
          <w:color w:val="4A6B25"/>
          <w:sz w:val="15"/>
        </w:rPr>
        <w:t xml:space="preserve">2. </w:t>
      </w:r>
      <w:r>
        <w:rPr>
          <w:rFonts w:ascii="Calibri" w:hAnsi="Calibri"/>
          <w:b w:val="0"/>
          <w:color w:val="3A4A28"/>
          <w:sz w:val="17"/>
        </w:rPr>
        <w:t>Gold Royalty Corp. Corporate Website — Royalty Portfolio Overview and Company Mission, goldroyalty.com,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Insider Monkey: 'Analysts Bullish on Gold Royalty (GROY) Following Record Fiscal Annual Revenue And Operating Cash Flows for 2025', March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GROY Faith-Based Investment Score,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