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GSBD</w:t>
      </w:r>
      <w:r>
        <w:rPr>
          <w:rFonts w:ascii="Calibri" w:hAnsi="Calibri"/>
          <w:b/>
          <w:color w:val="1A2010"/>
          <w:sz w:val="40"/>
        </w:rPr>
        <w:t xml:space="preserve">  Goldman Sachs BDC, Inc.</w:t>
      </w:r>
    </w:p>
    <w:p>
      <w:pPr>
        <w:spacing w:after="120"/>
      </w:pPr>
      <w:r>
        <w:rPr>
          <w:rFonts w:ascii="Calibri" w:hAnsi="Calibri"/>
          <w:b/>
          <w:color w:val="6E8450"/>
          <w:sz w:val="18"/>
        </w:rPr>
        <w:t>DIVIDEND SLEEVE · 2026-04-24 · Inspire: 12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Goldman Sachs BDC is a business development company specializing in middle market lending, originating secured and unsecured debt investments in private companies with EBITDA of $5-75 million. Externally managed by Goldman Sachs Asset Management, the fund invests $10-75 million per deal across first lien, unitranche, second lien, and mezzanine debt.</w:t>
      </w:r>
    </w:p>
    <w:p>
      <w:r>
        <w:rPr>
          <w:rFonts w:ascii="Calibri" w:hAnsi="Calibri"/>
          <w:b/>
          <w:color w:val="6E8450"/>
          <w:sz w:val="18"/>
        </w:rPr>
        <w:t>https://www.goldmansachsbdc.com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GSBD merged with Goldman Sachs Middle Market Lending Corp. II in 2020, expanding its portfolio scale, but this is consolidation rather than product innovation [1]. AI Deployment (0/2): No AI-powered lending products or quantified AI-driven underwriting improvements specific to GSBD have been disclosed, though parent Goldman Sachs has 90%+ internal AI adoption [2]. Market Share (1/2): GSBD is a meaningful player in the middle market BDC space with a $3.5 billion investment portfolio, backed by the Goldman Sachs brand and origination platform, but it is not the market leader [1]. Pipeline (1/2): Management discussed continued origination activity and portfolio rotation in Q4 2025, with median portfolio company EBITDA increasing 84% to $71.8M, suggesting improved deal quality [1]. R&amp;D Intensity (0/1): BDCs do not invest in R&amp;D; the business model is financial intermediation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GSBD's purpose is providing capital to middle market companies — a functional description of its business model with no articulated higher purpose or vision beyond generating income for shareholders [3]. Community Impact (1/2): As a middle market lender, GSBD provides growth capital to companies that may lack access to public markets, supporting economic activity and job creation across approximately 170 portfolio companies [1]. Employee Retention (1/2): GSBD is externally managed by GSAM with no direct employees; the management team led by co-CEO Vikram Bantwal (appointed August 2025) benefits from Goldman Sachs' institutional infrastructure and talent retention [2]. Insider Buying (1/2): GSBD trades at 0.75x book value, and the Goldman Sachs brand alignment provides implicit insider conviction, though no significant direct insider purchases were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GSBD offers a compelling forward P/E of 8.0 and profit margin of 32.6%, reflecting the inherent leverage of the BDC model [3]. D/E of 132.0% is moderate for a BDC (regulatory leverage limits of 2:1) [3]. ROE of 8.0% is below the 15% target, reflecting credit stress and non-accruals in the portfolio. Revenue declined 17.1% YoY as base rates peaked and spread compression affected net investment income [1]. The 135.9% payout ratio is unsustainable without NAV erosion, and the dividend was cut from $0.48 to $0.32 per quarter in late 2025 [3]. Consecutive dividend payments of 11 years since IPO provide some history. 5yr dividend growth CAGR is negative at -6.6% given the recent cut. Liquidity floor passes: 1.5M avg vol x $9.48 = $14.4M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GSBD operates with mixed infinite game signals. The Goldman Sachs brand and long-term institutional commitment to private credit suggest endurance, but the externally managed BDC structure creates inherent conflicts between management fees and shareholder returns. The dividend cut from $0.48 to $0.32 reflects finite-game pressure to maintain unsustainable distributions rather than building reserves for long-term portfolio health.</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GSBD's stated purpose — providing capital to middle market companies — is functional rather than aspirational [3]. The company exists to generate income for shareholders through credit intermediation. While providing capital to underserved middle market companies has societal value, GSBD does not articulate this as a Just Cause. The external management structure means GSBD's identity is derivative of Goldman Sachs rather than independently purposeful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an externally managed BDC with no direct employees, GSBD's 'team' is the Goldman Sachs Private Credit group within GSAM [2]. This team benefits from Goldman's institutional culture, though the co-CEO change to Vikram Bantwal in August 2025 represents recent leadership transition. The Goldman Sachs platform provides stability and access to deal flow that smaller BDCs cannot match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GSBD competes in an increasingly crowded BDC market against Ares Capital, Blue Owl, and other direct lenders [1]. Management commentary focuses on portfolio quality and origination capacity rather than competitor destruction, but the competitive language is more about deploying capital than learning from rivals' strengths. No evidence of explicitly acknowledging worthy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2020 merger with Goldman Sachs Middle Market Lending Corp. II showed willingness to consolidate for scale [1]. GSBD has shifted portfolio composition over time, increasing first lien exposure and improving median borrower EBITDA from ~$39M to $71.8M, demonstrating incremental strategic evolution [1]. However, the BDC structure fundamentally limits existential flexibility — the company must distribute 90%+ of income and maintain regulatory leverage limits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dividend reduction from $0.48 to $0.32 per quarter in 2025 showed willingness to right-size distributions rather than destroy NAV through over-distribution [1]. Management's comfort with the current dividend level despite NII declining to $0.37/share suggests prioritizing portfolio health over yield chasing. However, the cut came later than warranted given the sustained payout ratio above 100%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Goldman Sachs BDC offers a 15.1% dividend yield at 0.75x book value, backed by Goldman Sachs' institutional origination platform and a $3.5 billion middle market lending portfolio [1][3]. The forward P/E of 8.0 and profit margin of 32.6% reflect the BDC model's embedded leverage. Portfolio quality has improved with median borrower EBITDA increasing 84% to $71.8 million, and two-thirds of the portfolio is in first lien secured debt [1]. If base rates stabilize and credit quality holds, the current dividend of $0.32/quarter ($1.28 annualized, ~13.5% yield) appears more sustainable than the prior $0.48 level. The Goldman Sachs brand provides differentiated access to middle market deal flow that smaller BDCs cannot replicate [2].</w:t>
      </w:r>
    </w:p>
    <w:p>
      <w:pPr>
        <w:spacing w:after="120"/>
      </w:pPr>
      <w:r>
        <w:rPr>
          <w:rFonts w:ascii="Calibri" w:hAnsi="Calibri"/>
          <w:b w:val="0"/>
          <w:color w:val="3A4A28"/>
          <w:sz w:val="20"/>
        </w:rPr>
        <w:t>The bear case centers on credit deterioration and structural headwinds. The 135.9% payout ratio remains unsustainable, and further dividend cuts are probable if NII continues declining — earnings fell 34.7% YoY with NII per share dropping from $0.40 to $0.37 [1][3]. Revenue declined 17.1% as spread compression from a competitive lending environment pressured yields. The SEC's 2022 $4 million fine against Goldman Sachs Asset Management for ESG policy failures raises governance concerns about the external manager [4]. Trading at 0.75x NAV signals the market prices in further credit losses or NAV erosion. The external management fee structure creates a structural conflict — GSAM earns fees on gross assets regardless of shareholder returns, incentivizing portfolio growth over quality [3]. Rising non-accruals in the middle market could accelerate losses if the economy weakens.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stabilization supporting net investment income and reducing borrower refinancing pressure across the $3.5B portfolio [1]</w:t>
      </w:r>
    </w:p>
    <w:p>
      <w:pPr>
        <w:spacing w:before="40" w:after="40"/>
        <w:ind w:left="283"/>
      </w:pPr>
      <w:r>
        <w:rPr>
          <w:rFonts w:ascii="Calibri" w:hAnsi="Calibri"/>
          <w:b/>
          <w:color w:val="4A6B25"/>
          <w:sz w:val="20"/>
        </w:rPr>
        <w:t xml:space="preserve">2. </w:t>
      </w:r>
      <w:r>
        <w:rPr>
          <w:rFonts w:ascii="Calibri" w:hAnsi="Calibri"/>
          <w:b w:val="0"/>
          <w:color w:val="3A4A28"/>
          <w:sz w:val="20"/>
        </w:rPr>
        <w:t>Portfolio quality improvement with median borrower EBITDA up 84% to $71.8M, potentially reducing non-accruals and supporting NAV [1]</w:t>
      </w:r>
    </w:p>
    <w:p>
      <w:pPr>
        <w:spacing w:before="40" w:after="40"/>
        <w:ind w:left="283"/>
      </w:pPr>
      <w:r>
        <w:rPr>
          <w:rFonts w:ascii="Calibri" w:hAnsi="Calibri"/>
          <w:b/>
          <w:color w:val="4A6B25"/>
          <w:sz w:val="20"/>
        </w:rPr>
        <w:t xml:space="preserve">3. </w:t>
      </w:r>
      <w:r>
        <w:rPr>
          <w:rFonts w:ascii="Calibri" w:hAnsi="Calibri"/>
          <w:b w:val="0"/>
          <w:color w:val="3A4A28"/>
          <w:sz w:val="20"/>
        </w:rPr>
        <w:t>Discount to NAV of 25% creates potential upside if credit performance improves and the market re-rates GSBD closer to book value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payout ratio above 100% threatens further dividend cuts below the current $0.32/quarter level, eroding the income thesis [3]</w:t>
      </w:r>
    </w:p>
    <w:p>
      <w:pPr>
        <w:spacing w:before="40" w:after="40"/>
        <w:ind w:left="283"/>
      </w:pPr>
      <w:r>
        <w:rPr>
          <w:rFonts w:ascii="Calibri" w:hAnsi="Calibri"/>
          <w:b/>
          <w:color w:val="4A6B25"/>
          <w:sz w:val="20"/>
        </w:rPr>
        <w:t xml:space="preserve">2. </w:t>
      </w:r>
      <w:r>
        <w:rPr>
          <w:rFonts w:ascii="Calibri" w:hAnsi="Calibri"/>
          <w:b w:val="0"/>
          <w:color w:val="3A4A28"/>
          <w:sz w:val="20"/>
        </w:rPr>
        <w:t>Middle market credit deterioration as higher-for-longer rates pressure smaller borrowers' ability to service floating-rate debt [1]</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fee structure misaligns incentives — GSAM earns base management fees on gross assets regardless of GSBD shareholder returns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GSBD's middle market lending business is moderately protected from AI disruption. Credit underwriting requires relationship-based origination, complex documentation review, and judgment on private company financials that AI cannot fully automate [2]. However, AI tools are increasingly capable of credit analysis, portfolio monitoring, and document processing, which could compress the fee premium that externally managed BDCs charge. Parent Goldman Sachs has achieved 90%+ internal AI adoption, positioning GSAM to leverage AI for better underwriting [2]. AI Opportunity (0/1): GSBD itself generates no AI-related revenue; any AI benefits flow through GSAM's management capabilities rather than GSBD's income statement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Goldman Sachs BDC Q4 2025 Earnings and Q1 2026 Revenue — $96.94M quarterly revenue, NII per share $0.37, median EBITDA $71.8M</w:t>
      </w:r>
    </w:p>
    <w:p>
      <w:pPr>
        <w:spacing w:before="20" w:after="20"/>
        <w:ind w:left="170"/>
      </w:pPr>
      <w:r>
        <w:rPr>
          <w:rFonts w:ascii="Calibri" w:hAnsi="Calibri"/>
          <w:b/>
          <w:color w:val="4A6B25"/>
          <w:sz w:val="15"/>
        </w:rPr>
        <w:t xml:space="preserve">2. </w:t>
      </w:r>
      <w:r>
        <w:rPr>
          <w:rFonts w:ascii="Calibri" w:hAnsi="Calibri"/>
          <w:b w:val="0"/>
          <w:color w:val="3A4A28"/>
          <w:sz w:val="17"/>
        </w:rPr>
        <w:t>Goldman Sachs Leadership and AI Strategy — CEO David Solomon, CIO Marco Argenti, 90%+ AI adoption, co-CEO Vikram Bantwal appointed August 2025</w:t>
      </w:r>
    </w:p>
    <w:p>
      <w:pPr>
        <w:spacing w:before="20" w:after="20"/>
        <w:ind w:left="170"/>
      </w:pPr>
      <w:r>
        <w:rPr>
          <w:rFonts w:ascii="Calibri" w:hAnsi="Calibri"/>
          <w:b/>
          <w:color w:val="4A6B25"/>
          <w:sz w:val="15"/>
        </w:rPr>
        <w:t xml:space="preserve">3. </w:t>
      </w:r>
      <w:r>
        <w:rPr>
          <w:rFonts w:ascii="Calibri" w:hAnsi="Calibri"/>
          <w:b w:val="0"/>
          <w:color w:val="3A4A28"/>
          <w:sz w:val="17"/>
        </w:rPr>
        <w:t>Yahoo Finance — GSBD key statistics and financial data,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SEC Press Release — Goldman Sachs Asset Management $4M ESG fine, November 2022</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