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GSK</w:t>
      </w:r>
      <w:r>
        <w:rPr>
          <w:rFonts w:ascii="Calibri" w:hAnsi="Calibri"/>
          <w:b/>
          <w:color w:val="1A2010"/>
          <w:sz w:val="40"/>
        </w:rPr>
        <w:t xml:space="preserve">  GSK plc</w:t>
      </w:r>
    </w:p>
    <w:p>
      <w:pPr>
        <w:spacing w:after="120"/>
      </w:pPr>
      <w:r>
        <w:rPr>
          <w:rFonts w:ascii="Calibri" w:hAnsi="Calibri"/>
          <w:b/>
          <w:color w:val="6E8450"/>
          <w:sz w:val="18"/>
        </w:rPr>
        <w:t>DIVIDEND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Kingdom</w:t>
      </w:r>
    </w:p>
    <w:p>
      <w:pPr>
        <w:spacing w:after="80"/>
      </w:pPr>
      <w:r>
        <w:rPr>
          <w:rFonts w:ascii="Calibri" w:hAnsi="Calibri"/>
          <w:b w:val="0"/>
          <w:color w:val="3A4A28"/>
          <w:sz w:val="20"/>
        </w:rPr>
        <w:t>GSK is a global biopharma company headquartered in London, focused on vaccines, specialty medicines (HIV, oncology, respiratory/immunology), and general medicines. Following the 2022 demerger of consumer healthcare into Haleon, GSK operates as a pure-play biopharma with FY2025 sales of £32.7 billion across 36 markets worldwide.</w:t>
      </w:r>
    </w:p>
    <w:p>
      <w:r>
        <w:rPr>
          <w:rFonts w:ascii="Calibri" w:hAnsi="Calibri"/>
          <w:b/>
          <w:color w:val="6E8450"/>
          <w:sz w:val="18"/>
        </w:rPr>
        <w:t>66,841 Employees · https://www.gsk.com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GSK executed the transformative Haleon demerger in 2022, refocusing the company as a pure-play biopharma. Specialty Medicines grew 17% to £13.5B in FY2025, with Oncology surging 43% led by Jemperli (+89%) [1]. Five major FDA approvals in 2025 demonstrate pipeline execution. The 35Pharma acquisition to enter the weight loss market shows strategic ambition [1]. AI Deployment (2/2): GSK's AI and ML capabilities under Kim Branson span drug discovery, genetic analysis, cellular imaging, and clinical development. CEO Walmsley noted that improving drug development success rates from 10% to 20% through AI would 'completely change the trajectory of innovation' [2]. Shobie Ramakrishnan, ex-Apple and Salesforce, leads digital transformation with 10% of GSK's 70,000 employees now engaged in data upskilling [2]. Market Share (1/2): GSK is a top-3 global vaccine maker (Shingrix, RSV) and a leader in HIV treatments, but faces intense competition from Pfizer, Merck, and AstraZeneca across all therapeutic areas. US Shingrix revenue fell 17% due to market saturation [1]. Pipeline (1/2): Pipeline includes weight loss (35Pharma/HS235), next-gen HIV regimens, and oncology expansion, with a 2031 sales target of £40B+. However, patent expiry headwinds loom and specific timelines for next-gen blockbusters beyond current approvals are limited [1]. R&amp;D Intensity (1/1): R&amp;D investment is substantial at industry-competitive levels, with AI-enhanced drug discovery capabilities and a commitment to invest $30B+ in the US by 2030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GSK's purpose — 'to unite science, technology and talent to get ahead of disease together' — is specific, thoughtful, and connects the company's scientific capabilities to human health outcomes. It has been validated by the bold Haleon demerger to focus entirely on this purpose, and by consistent strategic decisions prioritizing biopharma R&amp;D [2]. Community Impact (1/2): GSK has programs for affordable medicine access in developing countries and climate commitments to cut emissions 80% by 2030 from 2020 levels — the deepest cut in pharma [3]. However, execution on emissions has been slow (only 1.2M of 8.5M metric tons cut in the first 3 years) [3]. Employee Retention (1/2): GSK's 66,841 employees and data upskilling conferences engaging 10% of the workforce suggest investment in talent development. However, no specific retention or tenure data is publicly available [2]. Insider Buying (1/2): Multiple board members and executives made small purchases in March 2026 (Bancroft $79.5K, Sikka $41.3K, Conrad $34K), showing broad if modest insider conviction during the leadership transition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GSK's financial profile is solid with attractive valuation and strong returns, offset by moderate leverage and below-target revenue growth. Forward P/E of 10.8x is deeply discounted for a major pharma with 7-9% guided Core EPS growth [1][5]. ROE of 43.3% is excellent, reflecting efficient capital deployment in biopharma. D/E of 111.5% is elevated (net debt rose 10% to £14.5B) partially due to the £2.2B Zantac settlement and £2B buyback program [3]. Revenue growth YoY of 6.2% and estimated 5yr CAGR of ~3.5% are below the 10% targets, though Specialty Medicines growth of 17% provides an accelerating mix shift [1]. Profit margin of 17.5% is adequate but below the 20% target as R&amp;D investment remains high. Payout ratio of 46.5% is slightly above target, with the 2026 dividend raised to 70p (from 66p). Consecutive years paid is 20+ but consecutive growth in USD is only ~3 years post-demerger dividend reset. 5yr USD ADR dividend CAGR is negative (-5.4%) due to the 2022 Haleon demerger cut [4]. Liquidity floor cleared: 5.6M avg volume × $55.19 = $308M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GSK demonstrates meaningful infinite game characteristics — the Haleon demerger was a courageous act of existential flexibility, sacrificing consumer healthcare revenue to focus entirely on the biopharma Just Cause. The planned leadership transition to Luke Miels and 2031 £40B+ sales outlook show long-term orientation. However, the Zantac governance failures and slow emissions progress reveal gaps between aspiration and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GSK's purpose — 'to unite science, technology and talent to get ahead of disease together' — is genuine and has been validated by the bold Haleon demerger, which sacrificed significant consumer healthcare revenue to focus entirely on biopharma innovation [1]. The £40B+ 2031 sales target and $30B US investment commitment show strategic consistency. However, the cause hasn't been tested across decades under this framing (GSK only refocused in 2022), and the Zantac scandal raises questions about whether patient safety has always been prioritized over profit [3].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GSK invests meaningfully in employee development — data upskilling conferences now engage 10% of the 70,000-person workforce, and the hiring of Silicon Valley talent (Ramakrishnan from Apple/Salesforce) signals openness to external perspectives [2]. The orderly CEO transition from Walmsley to Miels, with a 9-month overlap period, demonstrates institutional stability. However, no specific retention or turnover data is available, and the leadership transition itself introduces uncertainty about cultural continuity.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GSK explicitly acknowledges competitors' strengths and uses them to improve. Walmsley noted the industry's 90% failure rate in drug development and framed AI adoption as learning from tech companies' capabilities [2]. Luke Miels' experience across AstraZeneca, Roche, and Sanofi-Aventis brings deep competitive awareness. GSK's approach to AI is explicitly about learning from tech pioneers rather than dismissing them. (1/1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Haleon demerger is a textbook example of existential flexibility — GSK abandoned its profitable consumer healthcare business (Sensodyne, Advil, Centrum) to focus entirely on biopharma, a painful short-term decision that aligned with the Just Cause of getting ahead of disease [1]. The subsequent 35Pharma acquisition to enter weight loss therapeutics shows continued willingness to pivot into new therapeutic areas. This is a transformative reinvention, not incremental adaptation. (2/2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Haleon demerger required genuine courage — walking away from stable consumer healthcare cash flows to bet on higher-risk biopharma R&amp;D [1]. Walmsley's decision to step down and ensure an orderly transition shows leadership maturity. The $2.2B Zantac settlement, while financially painful, resolved uncertainty rather than prolonging litigation [3]. However, the Zantac governance failure — allegedly suppressing internal safety findings since 1982 — represents a profound courage deficit in prior leadership eras.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GSK delivered strong FY2025 performance with £32.7B in sales (up 4%) and core EPS growth of 12%, driven by Specialty Medicines surging 17% to £13.5B with Oncology up 43% [1]. At 10.8x forward P/E with 2026 guided 7-9% Core EPS growth and a 3.3% dividend yield (raised to 70p for 2026), GSK offers compelling value for a top-5 global pharma with a refocused biopharma strategy, AI-enhanced drug discovery, and a £40B+ 2031 sales target [1]. The Haleon demerger successfully transformed GSK into a pure-play biopharma, and the 35Pharma weight loss acquisition signals strategic ambition. Cash from operations of £8.9B and £4.0B free cash flow provide firepower for pipeline investment and shareholder returns, with £1.4B of the £2B buyback already executed [1]. Five FDA approvals in 2025 validate pipeline productivity.</w:t>
      </w:r>
    </w:p>
    <w:p>
      <w:pPr>
        <w:spacing w:after="120"/>
      </w:pPr>
      <w:r>
        <w:rPr>
          <w:rFonts w:ascii="Calibri" w:hAnsi="Calibri"/>
          <w:b w:val="0"/>
          <w:color w:val="3A4A28"/>
          <w:sz w:val="20"/>
        </w:rPr>
        <w:t>The bear case centers on patent expiry headwinds that management warns will slow 2026 sales growth to 3-5%, creating a challenging transition period before next-generation products scale [1]. The $2.2B Zantac settlement resolves most litigation but ongoing cases (bellwether trials not until March 2028) and a shareholder class action alleging suppression of internal safety data since 1982 create lingering legal and reputational risk [3]. Net debt rose 10% to £14.5B, constraining acquisition flexibility. US Shingrix revenue fell 17% from market saturation, and the vaccine franchise faces pricing pressure globally. The CEO transition from Walmsley to Miels introduces execution risk during a pivotal year. 5yr USD ADR dividend CAGR is negative (-5.4%) due to the Haleon demerger cut, undermining the income case despite the recent 70p target [4]. GSK's environmental emissions targets (80% reduction by 2030) appear behind schedule with only 14% of the target achieved in the first three years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Specialty Medicines mix shift — at 41% of revenue growing 17% with Oncology up 43%, the margin-accretive portfolio transformation could accelerate core operating profit expansion toward the £40B+ 2031 target [1]</w:t>
      </w:r>
    </w:p>
    <w:p>
      <w:pPr>
        <w:spacing w:before="40" w:after="40"/>
        <w:ind w:left="283"/>
      </w:pPr>
      <w:r>
        <w:rPr>
          <w:rFonts w:ascii="Calibri" w:hAnsi="Calibri"/>
          <w:b/>
          <w:color w:val="4A6B25"/>
          <w:sz w:val="20"/>
        </w:rPr>
        <w:t xml:space="preserve">2. </w:t>
      </w:r>
      <w:r>
        <w:rPr>
          <w:rFonts w:ascii="Calibri" w:hAnsi="Calibri"/>
          <w:b w:val="0"/>
          <w:color w:val="3A4A28"/>
          <w:sz w:val="20"/>
        </w:rPr>
        <w:t>AI-enhanced drug discovery potentially doubling success rates from 10% to 20%, which would transform R&amp;D economics and pipeline productivity across all therapeutic areas [2]</w:t>
      </w:r>
    </w:p>
    <w:p>
      <w:pPr>
        <w:spacing w:before="40" w:after="40"/>
        <w:ind w:left="283"/>
      </w:pPr>
      <w:r>
        <w:rPr>
          <w:rFonts w:ascii="Calibri" w:hAnsi="Calibri"/>
          <w:b/>
          <w:color w:val="4A6B25"/>
          <w:sz w:val="20"/>
        </w:rPr>
        <w:t xml:space="preserve">3. </w:t>
      </w:r>
      <w:r>
        <w:rPr>
          <w:rFonts w:ascii="Calibri" w:hAnsi="Calibri"/>
          <w:b w:val="0"/>
          <w:color w:val="3A4A28"/>
          <w:sz w:val="20"/>
        </w:rPr>
        <w:t>35Pharma weight loss acquisition (HS235 for fat-selective weight loss with muscle preservation) positions GSK in the highest-growth therapeutic category in pharma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Patent expiry headwinds in 2026-2028 could compress revenue growth below the 3-5% guided range if new product launches fail to offset genericization of legacy medicines [1]</w:t>
      </w:r>
    </w:p>
    <w:p>
      <w:pPr>
        <w:spacing w:before="40" w:after="40"/>
        <w:ind w:left="283"/>
      </w:pPr>
      <w:r>
        <w:rPr>
          <w:rFonts w:ascii="Calibri" w:hAnsi="Calibri"/>
          <w:b/>
          <w:color w:val="4A6B25"/>
          <w:sz w:val="20"/>
        </w:rPr>
        <w:t xml:space="preserve">2. </w:t>
      </w:r>
      <w:r>
        <w:rPr>
          <w:rFonts w:ascii="Calibri" w:hAnsi="Calibri"/>
          <w:b w:val="0"/>
          <w:color w:val="3A4A28"/>
          <w:sz w:val="20"/>
        </w:rPr>
        <w:t>Zantac litigation tail risk — $2.2B settlement resolves 93% of cases, but bellwether trials in 2028, shareholder class action, and the $70M whistleblower settlement signal ongoing legal exposure and governance reputational damage [3]</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Walmsley to Miels during a pivotal year introduces execution risk, particularly around pipeline prioritization, capital allocation, and the ambitious 2031 sales target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Pharmaceutical R&amp;D, manufacturing, and distribution are deeply regulated and capital-intensive — AI cannot replace the clinical trial process, FDA approval pathway, or physical drug manufacturing infrastructure [2]. However, AI-native drug discovery companies (Recursion, Insilico) and big tech (Google DeepMind) are entering drug discovery, potentially compressing timelines and reducing the competitive advantage of large pharma's traditional R&amp;D scale. GSK's moat is its commercial infrastructure, regulatory expertise, and existing approved drug portfolio, which AI startups cannot easily replicate. AI Opportunity (1/1): GSK generates indirect AI-related value through AI-enhanced drug discovery that has contributed to pipeline advancement. Kim Branson's team uses ML across genetic analysis, molecular design, and clinical imaging, with Walmsley noting AI could double drug development success rates from 10% to 20% — a transformative impact on pharma economics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GSK FY 2025 Results and 2026 Guidance — £32.7B sales, 12% Core EPS growth, 3-5% turnover guidance, February 4, 2026</w:t>
      </w:r>
    </w:p>
    <w:p>
      <w:pPr>
        <w:spacing w:before="20" w:after="20"/>
        <w:ind w:left="170"/>
      </w:pPr>
      <w:r>
        <w:rPr>
          <w:rFonts w:ascii="Calibri" w:hAnsi="Calibri"/>
          <w:b/>
          <w:color w:val="4A6B25"/>
          <w:sz w:val="15"/>
        </w:rPr>
        <w:t xml:space="preserve">2. </w:t>
      </w:r>
      <w:r>
        <w:rPr>
          <w:rFonts w:ascii="Calibri" w:hAnsi="Calibri"/>
          <w:b w:val="0"/>
          <w:color w:val="3A4A28"/>
          <w:sz w:val="17"/>
        </w:rPr>
        <w:t>McKinsey interview with GSK's Kim Branson on AI/ML in drug discovery; Fortune profile of Shobie Ramakrishnan; GSK CEO podcast with Nicolai Tangen, 2025-2026</w:t>
      </w:r>
    </w:p>
    <w:p>
      <w:pPr>
        <w:spacing w:before="20" w:after="20"/>
        <w:ind w:left="170"/>
      </w:pPr>
      <w:r>
        <w:rPr>
          <w:rFonts w:ascii="Calibri" w:hAnsi="Calibri"/>
          <w:b/>
          <w:color w:val="4A6B25"/>
          <w:sz w:val="15"/>
        </w:rPr>
        <w:t xml:space="preserve">3. </w:t>
      </w:r>
      <w:r>
        <w:rPr>
          <w:rFonts w:ascii="Calibri" w:hAnsi="Calibri"/>
          <w:b w:val="0"/>
          <w:color w:val="3A4A28"/>
          <w:sz w:val="17"/>
        </w:rPr>
        <w:t>GSK Zantac litigation $2.2B settlement, shareholder lawsuit, Bank.Green climate analysis, emissions progress reporting,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GSK dividend history, insider transactions,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GSK key statistics (P/E, Forward P/E, ROE, D/E, margins),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