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GSM</w:t>
      </w:r>
      <w:r>
        <w:rPr>
          <w:rFonts w:ascii="Calibri" w:hAnsi="Calibri"/>
          <w:b/>
          <w:color w:val="1A2010"/>
          <w:sz w:val="40"/>
        </w:rPr>
        <w:t xml:space="preserve">  Ferroglobe PLC</w:t>
      </w:r>
    </w:p>
    <w:p>
      <w:pPr>
        <w:spacing w:after="120"/>
      </w:pPr>
      <w:r>
        <w:rPr>
          <w:rFonts w:ascii="Calibri" w:hAnsi="Calibri"/>
          <w:b/>
          <w:color w:val="6E8450"/>
          <w:sz w:val="18"/>
        </w:rPr>
        <w:t>GROWTH SLEEVE · 2026-04-30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Kingdom</w:t>
      </w:r>
    </w:p>
    <w:p>
      <w:pPr>
        <w:spacing w:after="80"/>
      </w:pPr>
      <w:r>
        <w:rPr>
          <w:rFonts w:ascii="Calibri" w:hAnsi="Calibri"/>
          <w:b w:val="0"/>
          <w:color w:val="3A4A28"/>
          <w:sz w:val="20"/>
        </w:rPr>
        <w:t>Ferroglobe PLC produces and sells silicon metal, silicon-based ferroalloys, and manganese-based ferroalloys globally. The company supplies silicon metal to aluminum, silicone chemical, and solar industries, and operates quartz mines, coal mines, and a hydroelectric power plant across the U.S., Europe, South Africa, and Canada.</w:t>
      </w:r>
    </w:p>
    <w:p>
      <w:r>
        <w:rPr>
          <w:rFonts w:ascii="Calibri" w:hAnsi="Calibri"/>
          <w:b/>
          <w:color w:val="6E8450"/>
          <w:sz w:val="18"/>
        </w:rPr>
        <w:t>3,700 Employees · https://www.ferroglobe.com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Ferroglobe has pursued incremental product development in high-purity silicon for batteries and solar applications, with Chief Technology &amp; Innovation Officer Dr. Benoist Ollivier leading the NANOMATIA project for AI-driven nanomaterials research [2]. However, no transformative product launches or business model pivots in the last 5 years — the company remains a commodity silicon and ferroalloy producer. AI Deployment (1/2): The NANOMATIA project explores AI and industrial biotechnology for new nanomaterials, but this is R&amp;D-stage exploration rather than deployed AI products generating revenue or measurable cost savings [2]. Market Share (1/2): Ferroglobe is one of the world's leading silicon metal and specialty alloy producers, operating across the U.S., Europe, and South Africa with meaningful global market position, but faces intense competition from Chinese producers and other low-cost operators [1]. Pipeline (1/2): Management guided 2026 revenue to $1.5-$1.7B (20% growth) driven by EU safeguards on ferrosilicon imports and a new 10-year energy contract in France enabling year-round production [1]. Silicon-rich anodic material for lithium-ion batteries is in development but lacks specific launch timelines. R&amp;D Intensity (1/1): The appointment of a dedicated Chief Technology &amp; Innovation Officer and university partnerships for nanomaterials research indicate above-average R&amp;D commitment for the metals/mining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Ferroglobe's public materials describe the company in functional terms — producing silicon metal and ferroalloys for industrial customers. No distinctive purpose or vision statement articulating why the company exists beyond its products. The sustainability strategy (2022-2026 ESG roadmap) adds some intentionality but reads as compliance-driven rather than purpose-driven [3]. Community Impact (1/2): Ferroglobe's ESG strategy includes local community engagement at its plant locations across Spain, France, South Africa, and the U.S., with commitments to reduce GHG emissions and improve environmental footprint. However, no specific charitable dollar amounts or distinctive community programs were identified [3]. Employee Retention (1/2): CEO Marco Levi has served since 2020, providing moderate continuity. VP of People &amp; Culture David Girardeau was appointed to drive cultural unification across global operations, suggesting active attention to employee development and integration [2]. Insider Buying (1/2): Chairman Javier Lopez Madrid acquired 26,000 shares at $3.86 per share ($100,360) in March 2026, a meaningful insider purchase signaling confidence in the turnaround, though the dollar amount is modest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Ferroglobe's financial profile reflects a company in turnaround with deeply attractive valuation but severely impaired profitability. Forward P/E of 6.6x is extremely cheap, pricing in significant recovery — analysts expect $0.69 forward EPS versus a net loss of -$170.7M in 2025 [1]. D/E of 38.9% is healthy and well below the 70% target, providing balance sheet flexibility for the turnaround. However, TTM profit margin of -12.8% and ROE of -23.2% reflect a company that lost money in 2025 as silicon metal and ferroalloy prices compressed. Revenue declined 10.4% YoY, though 5yr CAGR of 7.0% shows moderate long-term growth. Management guides 20% revenue growth in 2026 driven by EU trade protections and the new French energy contract, but this depends on commodity price recovery. Liquidity floor cleared: 1.3M avg volume x $4.49 = $5.7M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Ferroglobe operates with a mixed mindset — the 2022-2026 ESG strategy and long-term energy contract in France suggest planning for endurance, but the company's identity is fundamentally tied to commodity production cycles rather than a transformative vision. CEO Levi's turnaround focus is necessary but inherently finite in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Ferroglobe lacks a clearly articulated Just Cause beyond producing silicon and ferroalloys for industrial customers. The company exists to serve commodity markets — there is no vision of a better future that transcends the product. The ESG strategy adds sustainability language but reads as compliance rather than cause [3]. Just Cause: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David Girardeau as VP of People &amp; Culture to unify corporate culture across global operations shows awareness of organizational trust needs [2]. CEO Levi's 6-year tenure provides stability during a difficult cyclical downturn. However, no exceptional trust evidence (retention data, employee sentiment, empowerment programs) was found — the workforce is spread across mining and smelting operations in multiple countries with inherent cultural challenges. Trusting Teams: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Ferroglobe's competitive language centers on trade protections (EU safeguards, U.S. anti-dumping duties) against Chinese producers rather than self-improvement driven by competitive learning [1]. The company frames competition as a threat to be regulated away rather than a spur to innovation. Worthy Rivals: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Ferroglobe has shown incremental flexibility by developing silicon-rich anodic material for EV batteries and pursuing AI-driven nanomaterials research (NANOMATIA), representing early moves toward higher-value products beyond commodity ferroalloys [2]. The 10-year French energy contract represents long-term strategic positioning. However, the core business remains commodity silicon and ferroalloys with no transformative pivot.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Chairman Lopez Madrid's insider purchase of 26,000 shares during the turnaround period shows personal conviction [4]. Management's commitment to a 10-year energy contract in France and investment in battery-grade silicon development during a period of negative profitability demonstrates willingness to invest through the cycle. However, the company's reliance on trade protections rather than organic competitive advantage limits the courage assessment.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Ferroglobe is a deep-value turnaround play trading at 6.6x forward earnings with a healthy balance sheet (D/E 38.9%) and management guiding to 20% revenue growth in 2026 ($1.5-$1.7B) [1]. The recovery thesis is anchored by three structural catalysts: a new 10-year energy contract in France reducing costs and enabling year-round production; EU safeguard duties and U.S. anti-dumping rulings protecting margins from Chinese import competition; and growing demand for high-purity silicon from the semiconductor, solar, and EV battery industries. Q4 2025 showed early momentum with alloy shipments up 13% to 165,000 tons and revenue up 6% to $329M. Chairman Lopez Madrid's insider purchase at $3.86 signals management confidence in the turnaround [4]. The company's silicon metal is an indirect beneficiary of AI infrastructure buildout, as semiconductors and data center components require silicon inputs.</w:t>
      </w:r>
    </w:p>
    <w:p>
      <w:pPr>
        <w:spacing w:after="120"/>
      </w:pPr>
      <w:r>
        <w:rPr>
          <w:rFonts w:ascii="Calibri" w:hAnsi="Calibri"/>
          <w:b w:val="0"/>
          <w:color w:val="3A4A28"/>
          <w:sz w:val="20"/>
        </w:rPr>
        <w:t>The bear case is substantial. Ferroglobe posted a net loss of -$170.7M in 2025 with profit margin of -12.8% and ROE of -23.2%, reflecting the severity of the commodity cycle downturn [1]. Revenue declined 10.4% YoY, and the 5yr CAGR of 7.0% masks extreme volatility — revenue peaked at $2.3B in 2022 and has contracted to $1.4B. The turnaround depends on commodity price recovery that is outside management's control — silicon metal and ferroalloy prices are cyclical and subject to Chinese supply dynamics despite trade protections. Ferroglobe is a sub-$1B market cap company ($839M) with thin liquidity ($5.7M daily), creating volatility risk for any meaningful position. The company lacks a distinctive competitive advantage beyond cost structure — trade protections can be reversed, energy contracts expire, and Chinese producers have repeatedly found ways around import duties. Environmental regulatory risk is elevated given smelting operations and Sustainalytics' 'highest controversy level' designation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10-year energy contract in France starting 2026, reducing costs and enabling year-round production at French smelting facilities — management's top cited competitive advantage [1]</w:t>
      </w:r>
    </w:p>
    <w:p>
      <w:pPr>
        <w:spacing w:before="40" w:after="40"/>
        <w:ind w:left="283"/>
      </w:pPr>
      <w:r>
        <w:rPr>
          <w:rFonts w:ascii="Calibri" w:hAnsi="Calibri"/>
          <w:b/>
          <w:color w:val="4A6B25"/>
          <w:sz w:val="20"/>
        </w:rPr>
        <w:t xml:space="preserve">2. </w:t>
      </w:r>
      <w:r>
        <w:rPr>
          <w:rFonts w:ascii="Calibri" w:hAnsi="Calibri"/>
          <w:b w:val="0"/>
          <w:color w:val="3A4A28"/>
          <w:sz w:val="20"/>
        </w:rPr>
        <w:t>EU ferrosilicon safeguard duties and U.S. anti-dumping rulings protecting domestic producers from Chinese imports, supporting pricing recovery in 2026 [1]</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high-purity silicon from EV battery, semiconductor, and solar industries, with Ferroglobe developing silicon-rich anodic material for lithium-ion batteries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operating losses in 2025 (net loss -$170.7M, profit margin -12.8%) with turnaround dependent on commodity price recovery outside management's control [1]</w:t>
      </w:r>
    </w:p>
    <w:p>
      <w:pPr>
        <w:spacing w:before="40" w:after="40"/>
        <w:ind w:left="283"/>
      </w:pPr>
      <w:r>
        <w:rPr>
          <w:rFonts w:ascii="Calibri" w:hAnsi="Calibri"/>
          <w:b/>
          <w:color w:val="4A6B25"/>
          <w:sz w:val="20"/>
        </w:rPr>
        <w:t xml:space="preserve">2. </w:t>
      </w:r>
      <w:r>
        <w:rPr>
          <w:rFonts w:ascii="Calibri" w:hAnsi="Calibri"/>
          <w:b w:val="0"/>
          <w:color w:val="3A4A28"/>
          <w:sz w:val="20"/>
        </w:rPr>
        <w:t>Sub-$1B market cap ($839M) with thin daily liquidity ($5.7M), creating significant position sizing constraints and price volatility for institutional investors [5]</w:t>
      </w:r>
    </w:p>
    <w:p>
      <w:pPr>
        <w:spacing w:before="40" w:after="40"/>
        <w:ind w:left="283"/>
      </w:pPr>
      <w:r>
        <w:rPr>
          <w:rFonts w:ascii="Calibri" w:hAnsi="Calibri"/>
          <w:b/>
          <w:color w:val="4A6B25"/>
          <w:sz w:val="20"/>
        </w:rPr>
        <w:t xml:space="preserve">3. </w:t>
      </w:r>
      <w:r>
        <w:rPr>
          <w:rFonts w:ascii="Calibri" w:hAnsi="Calibri"/>
          <w:b w:val="0"/>
          <w:color w:val="3A4A28"/>
          <w:sz w:val="20"/>
        </w:rPr>
        <w:t>Trade protection dependence — EU safeguard duties and U.S. anti-dumping orders can be reversed or circumvented by Chinese producers through third-country routing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Ferroglobe's core business — mining quartz, operating smelting furnaces, and producing silicon metal and ferroalloys — involves physical-world industrial processes that AI structurally cannot displace [2]. The production of high-purity silicon metal actually benefits from AI growth, as silicon is a critical input for semiconductors, solar panels, and lithium-ion batteries that power AI infrastructure. EU and U.S. trade protections (safeguards and anti-dumping duties) create additional regulatory moats. The commodity pricing risk Ferroglobe faces is cyclical, not AI-driven. AI Opportunity (1/1): Ferroglobe supplies silicon metal to the semiconductor supply chain that enables AI computing — AI data center buildouts increase demand for silicon-based components, making Ferroglobe an indirect AI beneficiary. The NANOMATIA AI-driven nanomaterials project also represents emerging AI-enhanced R&amp;D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Ferroglobe Q4 and Full Year 2025 Earnings Release — $28M adjusted EBITDA, -$170.7M net loss, 2026 guidance $1.5-$1.7B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Ferroglobe Leadership — CEO Marco Levi, CTIO Dr. Benoist Ollivier, NANOMATIA AI/nanomaterials project, VP People &amp; Culture David Girardeau</w:t>
      </w:r>
    </w:p>
    <w:p>
      <w:pPr>
        <w:spacing w:before="20" w:after="20"/>
        <w:ind w:left="170"/>
      </w:pPr>
      <w:r>
        <w:rPr>
          <w:rFonts w:ascii="Calibri" w:hAnsi="Calibri"/>
          <w:b/>
          <w:color w:val="4A6B25"/>
          <w:sz w:val="15"/>
        </w:rPr>
        <w:t xml:space="preserve">3. </w:t>
      </w:r>
      <w:r>
        <w:rPr>
          <w:rFonts w:ascii="Calibri" w:hAnsi="Calibri"/>
          <w:b w:val="0"/>
          <w:color w:val="3A4A28"/>
          <w:sz w:val="17"/>
        </w:rPr>
        <w:t>Ferroglobe ESG Strategy 2022-2026 — sustainability roadmap, Sustainalytics ESG Risk Rating, environmental compliance</w:t>
      </w:r>
    </w:p>
    <w:p>
      <w:pPr>
        <w:spacing w:before="20" w:after="20"/>
        <w:ind w:left="170"/>
      </w:pPr>
      <w:r>
        <w:rPr>
          <w:rFonts w:ascii="Calibri" w:hAnsi="Calibri"/>
          <w:b/>
          <w:color w:val="4A6B25"/>
          <w:sz w:val="15"/>
        </w:rPr>
        <w:t xml:space="preserve">4. </w:t>
      </w:r>
      <w:r>
        <w:rPr>
          <w:rFonts w:ascii="Calibri" w:hAnsi="Calibri"/>
          <w:b w:val="0"/>
          <w:color w:val="3A4A28"/>
          <w:sz w:val="17"/>
        </w:rPr>
        <w:t>Daily Political — Chairman Javier Lopez Madrid insider purchase of 26,000 shares at $3.86,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GSM (Ferroglobe PLC),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