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w:t>
      </w:r>
      <w:r>
        <w:rPr>
          <w:rFonts w:ascii="Calibri" w:hAnsi="Calibri"/>
          <w:b/>
          <w:color w:val="1A2010"/>
          <w:sz w:val="40"/>
        </w:rPr>
        <w:t xml:space="preserve">  The Goldman Sachs Group, Inc.</w:t>
      </w:r>
    </w:p>
    <w:p>
      <w:pPr>
        <w:spacing w:after="120"/>
      </w:pPr>
      <w:r>
        <w:rPr>
          <w:rFonts w:ascii="Calibri" w:hAnsi="Calibri"/>
          <w:b/>
          <w:color w:val="6E8450"/>
          <w:sz w:val="18"/>
        </w:rPr>
        <w:t>DIVIDEND SLEEVE · 2026-04-14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Goldman Sachs is a global investment bank and asset manager operating across three segments: Global Banking &amp; Markets (investment banking, equities, FICC), Asset &amp; Wealth Management (AUS of $3.65T), and Platform Solutions. The firm combines a partnership-culture apprenticeship model with leading-edge AI deployment across trading, research, and client advisory functions.</w:t>
      </w:r>
    </w:p>
    <w:p>
      <w:r>
        <w:rPr>
          <w:rFonts w:ascii="Calibri" w:hAnsi="Calibri"/>
          <w:b/>
          <w:color w:val="6E8450"/>
          <w:sz w:val="18"/>
        </w:rPr>
        <w:t>46,500 Employees · https://www.goldmansachs.com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GS delivered Q1 2026 net revenues of $17.23B (+14% YoY) and net earnings of $5.63B (+19%), the second-highest quarterly revenue in firm history, with investment banking fees +48% and equities +27% (a record) [1]. AI Deployment (2/2): Goldman has deployed AI broadly — the firmwide GS AI assistant and 'Developer Copilot' are in production, Marquee is AI-enabled, and CEO David Solomon cites AI as driving capacity expansion rather than cutting roles, with a survey showing 37% of IB clients using AI in core processes [2]. Market Share (2/2): #1 or #2 in M&amp;A advisory, equity underwriting, and equities trading globally; AUS reached a record $3.65T this quarter [1]. Pipeline (1/2): Continued AI platform investment and AUS expansion are visible growth levers but without quantified multi-year revenue milestones beyond management's 20% ROE target. R&amp;D Intensity (0/1): Financials are not an R&amp;D-reporting industry in the traditional sense; tech spending is embedded in OpEx.</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Goldman's stated purpose is 'we aspire to be the most exceptional financial institution in the world, united by our shared values of partnership, client service, integrity and excellence,' which is clear but recognizable as a corporate values statement rather than a transformative cause [2]. Community Impact (2/2): Specific, distinctive programs including 10,000 Small Businesses, 10,000 Women, the $500M biodiversity bond launched in 2025, and billions in sustainable finance commitments [3]. Employee Retention (1/2): Partnership/apprenticeship culture with ~50% of staff in their 20s and a recognizable MD/partner track creates identity and retention for those who make it, though junior banker attrition has historically been high [2]. Insider Buying (0/2): No notable net insider buying disclosed; Solomon and the ManCom receive equity but there is no standout buying pattern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Q1 2026 annualized ROE of 19.8% and EPS of $17.55 demonstrate best-in-class capital efficiency for a global bank [1]. Revenue growth 14% YoY with record equities and +48% IB fees signals cyclical tailwinds, and AUS of $3.65T provides a recurring-fee annuity. Banks structurally carry high D/E due to deposit/funding liabilities, which dampens the mechanical D/E score, but capital ratios and liquidity remain strong. Forward P/E is reasonable given the ROE profile. Liquidity floor easily cleared. yfinance was unavailable; metrics below are from public filings and consensus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Goldman's 156-year partnership culture is a genuine infinite-game asset, but the firm's identity is periodically pulled toward short-term earnings pressure, the consumer-banking (Marcus) strategic error, and a competitive language that can tilt finite. Still, multi-decade institutional coherence and consistent top-tier performance place GS at the upper end of MIXED.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partnership-culture ideal of 'client service, integrity, excellence' has endured for 156 years and is referenced in strategic decisions, but it is a professional-services values set rather than a transformative societal cause [2]. It has been tested by the 2008 'Muppets' reputational crisis and the Marcus consumer-banking retreat.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apprenticeship/MD-partner model creates long-tenured senior leadership and an identifiable culture [2], but junior-banker workload controversies and the Marcus retrenchment layoffs temper the trust picture. Neither a clear red flag nor a standout trust exemplar.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Goldman publicly acknowledges competitive strengths of JPMorgan, Morgan Stanley, and Jane Street/Citadel and uses those rivalries to upgrade its own platforms (Marquee, equities tech) — management commentary regularly references specific competitors as learning benchmarks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Goldman has repeatedly reshaped itself — public offering in 1999, the 2020 Marcus consumer push, and the 2023 retrenchment back to Global Banking &amp; Markets plus AWM [2]. The Marcus entry and exit show flexibility, though also a strategic misstep rather than a cause-led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exit consumer banking, absorb writedowns, and refocus on the core franchise showed willingness to accept short-term pain [2][3]. Exiting the Net-Zero Banking Alliance in 2024 was politically courageous in one direction but abandoned a prior ESG commitment. Pattern of courage is present but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Goldman Sachs is firing on all cylinders: Q1 2026 revenue of $17.23B (+14% YoY) was the firm's second-highest ever, net earnings of $5.63B (+19%) and annualized ROE of 19.8% demonstrate industry-leading capital efficiency [1]. Investment banking fees jumped 48% and equities trading posted a record $5.33B (+27%), while AUS hit a record $3.65T and AWM net revenues grew 10% [1]. AI is being deployed as a productivity multiplier rather than a headcount cut, with CEO David Solomon publicly committing to capacity expansion [2]. The dividend has grown at a 20% 5yr CAGR off a low payout base, leaving significant room for continued capital return.</w:t>
      </w:r>
    </w:p>
    <w:p>
      <w:pPr>
        <w:spacing w:after="120"/>
      </w:pPr>
      <w:r>
        <w:rPr>
          <w:rFonts w:ascii="Calibri" w:hAnsi="Calibri"/>
          <w:b w:val="0"/>
          <w:color w:val="3A4A28"/>
          <w:sz w:val="20"/>
        </w:rPr>
        <w:t>The bear case centers on cyclicality, AI disruption of white-collar knowledge work, and the Inspire Insight score of -67 (MISALIGNED) reflecting documented LGBT and abortion activism. Capital-markets earnings are inherently cyclical and a U.S. recession would compress IB fees (+48% this quarter is a cyclical high that normalizes). AI substitution risk for junior banker analytical work, equity research, and wealth-management portfolio construction is real — Goldman's own chief economist warns AI impacts 'could arrive sooner than expected' [2]. GS also faces the SEC's prior $4M ESG enforcement action and a broader retreat from Net-Zero Banking Alliance commitments, suggesting the ESG/faith narrative is inconsistent [3]. Forward P/E of ~13 is fair but provides limited multiple expansion room if the cycle 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capital markets recovery driving IB fees and equities trading, with Q1 2026 already posting record equities revenue and +48% IB fees [1]</w:t>
      </w:r>
    </w:p>
    <w:p>
      <w:pPr>
        <w:spacing w:before="40" w:after="40"/>
        <w:ind w:left="283"/>
      </w:pPr>
      <w:r>
        <w:rPr>
          <w:rFonts w:ascii="Calibri" w:hAnsi="Calibri"/>
          <w:b/>
          <w:color w:val="4A6B25"/>
          <w:sz w:val="20"/>
        </w:rPr>
        <w:t xml:space="preserve">2. </w:t>
      </w:r>
      <w:r>
        <w:rPr>
          <w:rFonts w:ascii="Calibri" w:hAnsi="Calibri"/>
          <w:b w:val="0"/>
          <w:color w:val="3A4A28"/>
          <w:sz w:val="20"/>
        </w:rPr>
        <w:t>AUS compounding from the record $3.65T base in AWM providing a recurring-fee earnings stream that reduces cyclicality [1]</w:t>
      </w:r>
    </w:p>
    <w:p>
      <w:pPr>
        <w:spacing w:before="40" w:after="40"/>
        <w:ind w:left="283"/>
      </w:pPr>
      <w:r>
        <w:rPr>
          <w:rFonts w:ascii="Calibri" w:hAnsi="Calibri"/>
          <w:b/>
          <w:color w:val="4A6B25"/>
          <w:sz w:val="20"/>
        </w:rPr>
        <w:t xml:space="preserve">3. </w:t>
      </w:r>
      <w:r>
        <w:rPr>
          <w:rFonts w:ascii="Calibri" w:hAnsi="Calibri"/>
          <w:b w:val="0"/>
          <w:color w:val="3A4A28"/>
          <w:sz w:val="20"/>
        </w:rPr>
        <w:t>Productivity gains from internal AI deployment (GS AI assistant, Developer Copilot) expanding operating margins as the firm grows revenue without proportional headcount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Capital-markets cyclical downturn compressing IB fees and trading revenue, exposing the earnings concentration in Global Banking &amp; Markets (74% of Q1 revenue) [1]</w:t>
      </w:r>
    </w:p>
    <w:p>
      <w:pPr>
        <w:spacing w:before="40" w:after="40"/>
        <w:ind w:left="283"/>
      </w:pPr>
      <w:r>
        <w:rPr>
          <w:rFonts w:ascii="Calibri" w:hAnsi="Calibri"/>
          <w:b/>
          <w:color w:val="4A6B25"/>
          <w:sz w:val="20"/>
        </w:rPr>
        <w:t xml:space="preserve">2. </w:t>
      </w:r>
      <w:r>
        <w:rPr>
          <w:rFonts w:ascii="Calibri" w:hAnsi="Calibri"/>
          <w:b w:val="0"/>
          <w:color w:val="3A4A28"/>
          <w:sz w:val="20"/>
        </w:rPr>
        <w:t>AI substitution pressure on research, junior advisory, and wealth-management portfolio construction arriving faster than management expects per GS's own economist [2]</w:t>
      </w:r>
    </w:p>
    <w:p>
      <w:pPr>
        <w:spacing w:before="40" w:after="40"/>
        <w:ind w:left="283"/>
      </w:pPr>
      <w:r>
        <w:rPr>
          <w:rFonts w:ascii="Calibri" w:hAnsi="Calibri"/>
          <w:b/>
          <w:color w:val="4A6B25"/>
          <w:sz w:val="20"/>
        </w:rPr>
        <w:t xml:space="preserve">3. </w:t>
      </w:r>
      <w:r>
        <w:rPr>
          <w:rFonts w:ascii="Calibri" w:hAnsi="Calibri"/>
          <w:b w:val="0"/>
          <w:color w:val="3A4A28"/>
          <w:sz w:val="20"/>
        </w:rPr>
        <w:t>Inspire Insight score of -67 reflecting LGBT and abortion activism, and the firm's partial retreat from ESG commitments (Net-Zero Banking Alliance exit) complicating values-aligned ownership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Goldman's core businesses are genuinely split. Trading, market-making, prime brokerage, and regulated underwriting have deep moats AI cannot easily replicate (capital, regulation, counterparty trust). However, research, junior-banker analysis, wealth-management portfolio construction, and parts of asset management are directly in the AI substitution zone — the firm's own chief economist has flagged that 'AI impacts on the U.S. labor market could arrive sooner than expected' [2]. Solomon's 'no job apocalypse' stance acknowledges meaningful function change. AI Opportunity (1/1): GS is monetizing AI through Marquee, the GS AI assistant in client workflows, and AI-augmented advisory services, and has quantified AI-driven productivity gains internally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Goldman Sachs Q1 2026 earnings release — $17.23B revenue, $5.63B net earnings, 19.8% annualized ROE, $3.65T AUS, April 13, 2026</w:t>
      </w:r>
    </w:p>
    <w:p>
      <w:pPr>
        <w:spacing w:before="20" w:after="20"/>
        <w:ind w:left="170"/>
      </w:pPr>
      <w:r>
        <w:rPr>
          <w:rFonts w:ascii="Calibri" w:hAnsi="Calibri"/>
          <w:b/>
          <w:color w:val="4A6B25"/>
          <w:sz w:val="15"/>
        </w:rPr>
        <w:t xml:space="preserve">2. </w:t>
      </w:r>
      <w:r>
        <w:rPr>
          <w:rFonts w:ascii="Calibri" w:hAnsi="Calibri"/>
          <w:b w:val="0"/>
          <w:color w:val="3A4A28"/>
          <w:sz w:val="17"/>
        </w:rPr>
        <w:t>Fortune, CNN, eFinancialCareers — David Solomon commentary on AI job impact, Goldman AI deployment, and partnership culture, 2025-2026</w:t>
      </w:r>
    </w:p>
    <w:p>
      <w:pPr>
        <w:spacing w:before="20" w:after="20"/>
        <w:ind w:left="170"/>
      </w:pPr>
      <w:r>
        <w:rPr>
          <w:rFonts w:ascii="Calibri" w:hAnsi="Calibri"/>
          <w:b/>
          <w:color w:val="4A6B25"/>
          <w:sz w:val="15"/>
        </w:rPr>
        <w:t xml:space="preserve">3. </w:t>
      </w:r>
      <w:r>
        <w:rPr>
          <w:rFonts w:ascii="Calibri" w:hAnsi="Calibri"/>
          <w:b w:val="0"/>
          <w:color w:val="3A4A28"/>
          <w:sz w:val="17"/>
        </w:rPr>
        <w:t>SEC charges against GSAM for ESG policy failures ($4M penalty), Goldman Sachs exit from Net-Zero Banking Alliance, $500M biodiversity bond, 2022-2025</w:t>
      </w:r>
    </w:p>
    <w:p>
      <w:pPr>
        <w:spacing w:before="20" w:after="20"/>
        <w:ind w:left="170"/>
      </w:pPr>
      <w:r>
        <w:rPr>
          <w:rFonts w:ascii="Calibri" w:hAnsi="Calibri"/>
          <w:b/>
          <w:color w:val="4A6B25"/>
          <w:sz w:val="15"/>
        </w:rPr>
        <w:t xml:space="preserve">4. </w:t>
      </w:r>
      <w:r>
        <w:rPr>
          <w:rFonts w:ascii="Calibri" w:hAnsi="Calibri"/>
          <w:b w:val="0"/>
          <w:color w:val="3A4A28"/>
          <w:sz w:val="17"/>
        </w:rPr>
        <w:t>Inspire Insight Impact Score data from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