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GTLB</w:t>
      </w:r>
      <w:r>
        <w:rPr>
          <w:rFonts w:ascii="Calibri" w:hAnsi="Calibri"/>
          <w:b/>
          <w:color w:val="1A2010"/>
          <w:sz w:val="40"/>
        </w:rPr>
        <w:t xml:space="preserve">  GitLab Inc.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GitLab Inc. provides a comprehensive AI-powered DevSecOps platform delivered as a single application for the software development lifecycle. The platform enables organizations to plan, build, secure, and deploy software across concurrent DevOps, covering source code management, CI/CD, security testing, and project management. GitLab operates as a fully remote company and serves enterprises, government agencies, and open-source communities worldwide.</w:t>
      </w:r>
    </w:p>
    <w:p>
      <w:r>
        <w:rPr>
          <w:rFonts w:ascii="Calibri" w:hAnsi="Calibri"/>
          <w:b/>
          <w:color w:val="6E8450"/>
          <w:sz w:val="18"/>
        </w:rPr>
        <w:t>2,350 Employees · https://about.gitlab.com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 has established itself as a Gartner Magic Quadrant Leader in DevOps Platforms, validating its single-application approach to the software development lifecycle [1][3]. The launch of the GitLab Duo Agent Platform — an extensible AI orchestration system — has demonstrated tangible results with early adopters reporting 40-50% productivity improvements, positioning GitLab at the forefront of AI-augmented software development [3]. Revenue grew 26% to $955.2 million in FY2026 with ARR exceeding $1 billion for the first time, reflecting strong product-market fit [1]. However, GitHub Copilot's AI momentum has created significant competitive pressure, and GitLab must continue innovating rapidly to avoid losing ground in the AI-native developer tools race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GitLab's transition from founder CEO Sid Sijbrandij to new CEO Bill Staples in 2025 has introduced leadership instability, with Glassdoor reviews citing significant C-level turnover and cultural drift from the company's founding values of transparency and asynchronous collaboration [3]. The company was certified as a Great Place to Work for the fifth consecutive year with 96% of new team members feeling welcome, yet reviews also describe a culture becoming 'more corporate' with values 'no longer respected as they once were' [3][4]. The fully remote culture remains a distinctive inspiration driver, described as 'like getting a degree in remote work,' but the gap between legacy cultural DNA and new leadership's direction creates uncertainty [3]. CFO Brian Robins' departure mid-year added governance concerns, contributing to a 9% post-earnings stock decline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GitLab's financial infrastructure shows exceptional revenue growth (26% FY2026, 44% five-year CAGR) and a near-debt-free balance sheet, offset by continued GAAP unprofitability (-5.9% net margin) and negative ROE [1][2]. Non-GAAP operating margin expanded 680 basis points to 17%, and free cash flow reached $220 million (up 80% YoY), demonstrating the path to sustainable profitability [1]. Forward P/E of 20.4x and estimated PEG of ~1.3 represent reasonable valuations for a high-growth SaaS platform, and the $400 million share repurchase authorization signals management's confidence in cash generation durability [1]. FY2027 guidance of 15-17% revenue growth represents a notable deceleration from recent trends, though management expressed dissatisfaction with this pace and is focused on reaccelerating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GitLab's founding ethos of radical transparency, open-source community building, and remote-first work culture embodies infinite game principles, but the leadership transition from founder to professional management and the cultural drift reported by employees suggest the company is navigating a tension between its original infinite mindset and shorter-term growth pressures [3][4].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GitLab's original mission — to make it so that everyone can contribute to software development — represents a genuinely inclusive, enduring cause anchored in open-source principles [4]. The company's handbook-first, radically transparent operating model was a pioneering approach that inspired an industry, and the GiveLab volunteer campaign across 13 countries demonstrates community commitment beyond commercial interests [4]. However, the cause may be diluting as the company transitions to a more enterprise-focused, commercially driven posture under new leadership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Place to Work certification for five consecutive years and 96% new-hire welcome scores reflect strong baseline trust, but Glassdoor reviews increasingly describe leadership as 'inconsistent and reactive,' with new executives unfamiliar with GitLab's foundational values and cultural frameworks [3][4]. The fully remote culture that once unified the team is reportedly losing its cohesive force as corporate norms replace the organic transparency that defined early GitLab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 explicitly acknowledges GitHub as its primary competitor and uses this rivalry constructively — the competitive pressure from GitHub Copilot's AI momentum has directly catalyzed GitLab's own Duo Agent Platform development and AI-native innovation roadmap [1][3]. CEO Staples' public acknowledgment that FY2027 growth guidance is 'not satisfying' reflects a healthy competitive urgency rather than complacency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GitLab's evolution from an open-source project to a $1 billion ARR enterprise platform, including the strategic pivot to AI-native DevSecOps and the leadership transition from founder to professional CEO, demonstrates significant organizational flexibility [1][3]. The shift from pure seat-based to hybrid seat-plus-usage pricing for AI features shows business model adaptability, though the FY2027 growth deceleration suggests the current transformation is still in its early, uncertain stages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rapid executive turnover — new CEO, new CPMO, new CIO, and CFO departure all within a compressed timeframe — suggests reactive leadership changes rather than courageous, principled decision-making [3]. New executives reportedly unfamiliar with GitLab's core values indicate insufficient commitment to the company's founding principles during the transition, and the erosion of transparency that employees describe contradicts the courage required to lead authentically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GitLab represents a high-quality DevSecOps platform with a defensible single-application moat, $1 billion+ ARR, and a credible AI strategy through the Duo Agent Platform. The 26% FY2026 revenue growth, 17% non-GAAP operating margin expansion, and $220 million in free cash flow demonstrate the company is scaling profitably, and the $400 million buyback authorization signals confidence in long-term cash generation [1].</w:t>
      </w:r>
    </w:p>
    <w:p>
      <w:pPr>
        <w:spacing w:after="120"/>
      </w:pPr>
      <w:r>
        <w:rPr>
          <w:rFonts w:ascii="Calibri" w:hAnsi="Calibri"/>
          <w:b w:val="0"/>
          <w:color w:val="3A4A28"/>
          <w:sz w:val="20"/>
        </w:rPr>
        <w:t>The investment case faces meaningful headwinds: FY2027 guidance of 15-17% growth marks a sharp deceleration, executive instability (CEO transition, CFO departure) creates governance risk, and GitHub/Microsoft's AI ecosystem advantages pose a formidable competitive threat [1][3]. At 20.4x forward earnings with decelerating growth, the valuation is reasonable but not cheap enough to compensate for the execution uncertainty. The stock's 26% decline from its 50-day SMA suggests the market is already pricing in growth concerns. A HOLD is appropriate as GitLab proves its new leadership team can reaccelerate growth and maintain cultural integrity through the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Adoption acceleration of the Duo Agent Platform driving expansion revenue and usage-based pricing upside beyond current FY2027 guidance [1][3]</w:t>
      </w:r>
    </w:p>
    <w:p>
      <w:pPr>
        <w:spacing w:before="40" w:after="40"/>
        <w:ind w:left="283"/>
      </w:pPr>
      <w:r>
        <w:rPr>
          <w:rFonts w:ascii="Calibri" w:hAnsi="Calibri"/>
          <w:b/>
          <w:color w:val="4A6B25"/>
          <w:sz w:val="20"/>
        </w:rPr>
        <w:t xml:space="preserve">2. </w:t>
      </w:r>
      <w:r>
        <w:rPr>
          <w:rFonts w:ascii="Calibri" w:hAnsi="Calibri"/>
          <w:b w:val="0"/>
          <w:color w:val="3A4A28"/>
          <w:sz w:val="20"/>
        </w:rPr>
        <w:t>Stabilization of the executive team under CEO Bill Staples, rebuilding market confidence and enabling coherent strategic execution [3]</w:t>
      </w:r>
    </w:p>
    <w:p>
      <w:pPr>
        <w:spacing w:before="40" w:after="40"/>
        <w:ind w:left="283"/>
      </w:pPr>
      <w:r>
        <w:rPr>
          <w:rFonts w:ascii="Calibri" w:hAnsi="Calibri"/>
          <w:b/>
          <w:color w:val="4A6B25"/>
          <w:sz w:val="20"/>
        </w:rPr>
        <w:t xml:space="preserve">3. </w:t>
      </w:r>
      <w:r>
        <w:rPr>
          <w:rFonts w:ascii="Calibri" w:hAnsi="Calibri"/>
          <w:b w:val="0"/>
          <w:color w:val="3A4A28"/>
          <w:sz w:val="20"/>
        </w:rPr>
        <w:t>Enterprise deal momentum with large customers expanding from DevOps into the full DevSecOps platform, increasing dollar-based net retention above the current 121%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GitHub Copilot and Microsoft's AI ecosystem creating an increasingly insurmountable competitive moat, eroding GitLab's market share in AI-augmented developer tools [3]</w:t>
      </w:r>
    </w:p>
    <w:p>
      <w:pPr>
        <w:spacing w:before="40" w:after="40"/>
        <w:ind w:left="283"/>
      </w:pPr>
      <w:r>
        <w:rPr>
          <w:rFonts w:ascii="Calibri" w:hAnsi="Calibri"/>
          <w:b/>
          <w:color w:val="4A6B25"/>
          <w:sz w:val="20"/>
        </w:rPr>
        <w:t xml:space="preserve">2. </w:t>
      </w:r>
      <w:r>
        <w:rPr>
          <w:rFonts w:ascii="Calibri" w:hAnsi="Calibri"/>
          <w:b w:val="0"/>
          <w:color w:val="3A4A28"/>
          <w:sz w:val="20"/>
        </w:rPr>
        <w:t>Continued executive turnover destabilizing company culture and strategic direction during a critical AI platform transition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to 15-17% in FY2027 potentially reflecting structural market saturation rather than a temporary pause, compressing the company's growth premium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GitLab occupies a unique dual position in the AI landscape — its platform is both a tool for building AI applications and a platform being enhanced by AI capabilities, making it fundamentally an AI enabler rather than a disruption target [1][3]. The Duo Agent Platform with 40-50% productivity gains for early adopters demonstrates GitLab's ability to embed AI as a core differentiator rather than a bolt-on feature [3]. However, the primary disruption risk comes from GitHub Copilot's market momentum and Microsoft's AI ecosystem advantages, which could erode GitLab's competitive position if its own AI capabilities fail to keep pace [3]. The 121% dollar-based net retention rate suggests existing customers are expanding usage, indicating the AI features are driving adoption rather than displacement [1]. The risk is moderate because while AI broadly benefits developer tools platforms, the competitive dynamics with a much larger rival (GitHub/Microsoft) create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GitLab Q4 FY2026 Earnings Release and FY2027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GTLB key statistics and financial data,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 GitLab Reviews; AInvest — GitLab Strategic Shift and Leadership Changes; Gartner Magic Quadrant recognition,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GitLab ESG FY23 Report; GitLab Handbook — Environmental, Social and Governance,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