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GTX</w:t>
      </w:r>
      <w:r>
        <w:rPr>
          <w:rFonts w:ascii="Calibri" w:hAnsi="Calibri"/>
          <w:b/>
          <w:color w:val="1A2010"/>
          <w:sz w:val="40"/>
        </w:rPr>
        <w:t xml:space="preserve">  Garrett Motion Inc.</w:t>
      </w:r>
    </w:p>
    <w:p>
      <w:pPr>
        <w:spacing w:after="120"/>
      </w:pPr>
      <w:r>
        <w:rPr>
          <w:rFonts w:ascii="Calibri" w:hAnsi="Calibri"/>
          <w:b/>
          <w:color w:val="6E8450"/>
          <w:sz w:val="18"/>
        </w:rPr>
        <w:t>GROWTH SLEEVE · 2026-04-14 · Inspire: 46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61</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Consumer Cyclical · Auto Parts · NASDAQ · Switzerland</w:t>
      </w:r>
    </w:p>
    <w:p>
      <w:pPr>
        <w:spacing w:after="80"/>
      </w:pPr>
      <w:r>
        <w:rPr>
          <w:rFonts w:ascii="Calibri" w:hAnsi="Calibri"/>
          <w:b w:val="0"/>
          <w:color w:val="3A4A28"/>
          <w:sz w:val="20"/>
        </w:rPr>
        <w:t>Garrett Motion is a global leader in automotive turbocharger and electric-hybrid boosting technology, serving OEM customers across light vehicle, commercial vehicle, and aftermarket segments. The company emerged from Chapter 11 restructuring in 2021 and is investing in electrified boosting, fuel cell compressors, and connected vehicle software as it navigates the ICE-to-EV transition.</w:t>
      </w:r>
    </w:p>
    <w:p>
      <w:r>
        <w:rPr>
          <w:rFonts w:ascii="Calibri" w:hAnsi="Calibri"/>
          <w:b/>
          <w:color w:val="6E8450"/>
          <w:sz w:val="18"/>
        </w:rPr>
        <w:t>9,000 Employees · https://www.garrettmotion.com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Garrett has successfully emerged from Chapter 11 (2021) and stabilized operations, beating Q4 CY2025 revenue estimates with $891M (+5.6% YoY) and EPS of $0.42 vs. $0.35 expected [1]. The company has expanded beyond traditional turbochargers into electric-hybrid boosting, fuel cell compressors, and software. AI Deployment (1/2): Garrett is developing predictive maintenance, cybersecurity, and diagnostics systems for connected vehicles with Tier 1 partners, but AI deployment is exploratory rather than materially revenue-generating [2]. Market Share (2/2): Garrett is one of the two global turbocharger leaders (with BorgWarner), with a leading position in premium OEM platforms — specific market leadership validated by the &gt;$3.5B revenue base and Tier 1 supplier relationships [1]. Pipeline (1/2): The company has a pipeline of electrified boosting products and fuel cell compressors for hydrogen platforms, but 2026 revenue guidance of -2% to +2% constant currency suggests limited near-term visibility on new-product revenue ramp [1]. R&amp;D Intensity (0/1): R&amp;D spend is below the tech-forward auto parts average, and investments in next-gen electrification have been constrained by the post-bankruptcy deleveraging focus.</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Garrett articulates a distinctive purpose around 'advancing motion' and enabling the energy transition through boosting, fuel cells, and software — specific and thoughtful, connecting the company's legacy to the electrification future [2]. Community Impact (0/2): No material community or charitable programs disclosed at scale; EcoVadis silver medal and CDP A- supplier engagement reflect ESG discipline but not distinctive community investment [3]. Employee Retention (1/2): Glassdoor 3.6/5, culture 3.6, career 3.4; some reviews cite 'toxic workplace' and 'poor leadership' but overall rating is industry-average [2]. Insider Buying (1/2): $250M share repurchase program for 2026 reflects disciplined capital allocation; CEO Olivier Rabiller has meaningful equity exposure through the $8.66M compensation mix (87.8% bonus/equity) [1][2].</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Garrett's financials are respectable for a restructured auto supplier. 2026 revenue guidance of $3.6-$3.8B represents -2% to +2% constant currency growth, EBITDA guidance of $672M midpoint, and analyst EPS of $1.52 (+3.2% YoY) — modest growth but solid absolute profitability [1]. At $19.48 share price and ~188M shares outstanding, market cap is ~$3.7B. Forward P/E of ~12.8x is reasonable. Profit margin is mid-single-digits; ROE is elevated due to post-bankruptcy capital structure. D/E remains high from the reorganization debt stack. The $250M share repurchase program signals confidence in free cash flow [1]. Liquidity floor easily cleared: Garrett trades over 1M shares/day at ~$19.50, well above the $1M threshold.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6</w:t>
      </w:r>
      <w:r>
        <w:rPr>
          <w:rFonts w:ascii="Calibri" w:hAnsi="Calibri"/>
          <w:b w:val="0"/>
          <w:color w:val="9DAF88"/>
          <w:sz w:val="18"/>
        </w:rPr>
        <w:t xml:space="preserve"> /10</w:t>
      </w:r>
    </w:p>
    <w:p>
      <w:pPr>
        <w:spacing w:after="120"/>
      </w:pPr>
      <w:r>
        <w:rPr>
          <w:rFonts w:ascii="Calibri" w:hAnsi="Calibri"/>
          <w:b w:val="0"/>
          <w:color w:val="3A4A28"/>
          <w:sz w:val="18"/>
        </w:rPr>
        <w:t>Garrett is navigating a difficult industry transition with reasonable discipline — emerging from Chapter 11, returning cash via buybacks, and investing in electrified boosting and fuel cell compressors. Just Cause is credibly articulated; existential flexibility is real but the outcome is uncertain as ICE volumes eventually decline.</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Garrett's 'advancing motion' purpose connects its engineering heritage to the energy transition credibly, and leadership references it in strategic decisions around electrified boosting and fuel cells [2].</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Glassdoor 3.6/5 with mixed reviews; DEI Council established in 2021, but some reviews cite poor leadership — organizational trust is average post-reorg [2].</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Garrett explicitly competes with BorgWarner and acknowledges the competitive pressure drives its innovation in electrified boosting and fuel cell compressors [2].</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Post-bankruptcy emergence in 2021 plus investment in fuel cell compressors and connected vehicle software represent real flexibility; however, the company is still heavily dependent on ICE turbocharger revenue [1].</w:t>
      </w:r>
    </w:p>
    <w:p>
      <w:pPr>
        <w:spacing w:before="200" w:after="40"/>
      </w:pPr>
      <w:r>
        <w:rPr>
          <w:rFonts w:ascii="Calibri" w:hAnsi="Calibri"/>
          <w:b/>
          <w:color w:val="1A2010"/>
          <w:sz w:val="22"/>
        </w:rPr>
        <w:t>Courage To Lead</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Management has shown discipline with the $250M share repurchase program and post-reorg deleveraging, but no evidence of a costly long-term bet (e.g., aggressive electrification investment through the ICE decline); R&amp;D intensity trails tech-forward peers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Garrett Motion is a post-bankruptcy turbocharger leader delivering steady cash flow in a transitioning industry. Q4 CY2025 revenue of $891M (+5.6% YoY) beat estimates, and EPS of $0.42 exceeded the $0.35 consensus by 18.6% [1]. 2026 guidance calls for revenue of $3.6-$3.8B, EBITDA of $672M midpoint, and the board authorized a $250M share repurchase program — meaningful capital return on a ~$3.7B market cap [1]. Garrett is one of the two global turbocharger leaders (with BorgWarner), serves premium OEM platforms, and is extending the franchise into electrified boosting, fuel cell compressors, and connected vehicle software [2]. At ~12.8x forward earnings with mid-single-digit revenue growth and disciplined cost structure, GTX offers reasonable value.</w:t>
      </w:r>
    </w:p>
    <w:p>
      <w:pPr>
        <w:spacing w:after="120"/>
      </w:pPr>
      <w:r>
        <w:rPr>
          <w:rFonts w:ascii="Calibri" w:hAnsi="Calibri"/>
          <w:b w:val="0"/>
          <w:color w:val="3A4A28"/>
          <w:sz w:val="20"/>
        </w:rPr>
        <w:t>The bear case is the ICE-to-EV transition. Battery electric vehicles don't need turbochargers, and while hybrid/PHEV adoption extends the turbocharger runway, the long-term volume trajectory is negative. 2026 revenue guidance of -2% to +2% constant currency confirms the franchise is not growing organically [1]. Fuel cell compressors and electrified boosting offer optionality but are early-stage and R&amp;D intensity remains below tech-forward auto parts peers, potentially limiting the electrification pivot [2]. Post-bankruptcy balance sheet still carries meaningful leverage, which could stress coverage if auto cycle weakens. Glassdoor reviews are mixed with some citing toxic workplace culture [2]. The stock has nearly doubled off the 52-week low ($8.69 to $19.48), compressing the margin of safety. Auto supplier cyclicality and OEM concentration add volatility risk.</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$250M 2026 share repurchase program reducing share count and supporting EPS growth above revenue growth [1]</w:t>
      </w:r>
    </w:p>
    <w:p>
      <w:pPr>
        <w:spacing w:before="40" w:after="40"/>
        <w:ind w:left="283"/>
      </w:pPr>
      <w:r>
        <w:rPr>
          <w:rFonts w:ascii="Calibri" w:hAnsi="Calibri"/>
          <w:b/>
          <w:color w:val="4A6B25"/>
          <w:sz w:val="20"/>
        </w:rPr>
        <w:t xml:space="preserve">2. </w:t>
      </w:r>
      <w:r>
        <w:rPr>
          <w:rFonts w:ascii="Calibri" w:hAnsi="Calibri"/>
          <w:b w:val="0"/>
          <w:color w:val="3A4A28"/>
          <w:sz w:val="20"/>
        </w:rPr>
        <w:t>Fuel cell compressor and electrified boosting revenue ramp as hybrid adoption accelerates [2]</w:t>
      </w:r>
    </w:p>
    <w:p>
      <w:pPr>
        <w:spacing w:before="40" w:after="40"/>
        <w:ind w:left="283"/>
      </w:pPr>
      <w:r>
        <w:rPr>
          <w:rFonts w:ascii="Calibri" w:hAnsi="Calibri"/>
          <w:b/>
          <w:color w:val="4A6B25"/>
          <w:sz w:val="20"/>
        </w:rPr>
        <w:t xml:space="preserve">3. </w:t>
      </w:r>
      <w:r>
        <w:rPr>
          <w:rFonts w:ascii="Calibri" w:hAnsi="Calibri"/>
          <w:b w:val="0"/>
          <w:color w:val="3A4A28"/>
          <w:sz w:val="20"/>
        </w:rPr>
        <w:t>Continued hybrid/PHEV penetration extending the ICE turbocharger runway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Long-term ICE-to-EV transition structurally reducing turbocharger demand [1]</w:t>
      </w:r>
    </w:p>
    <w:p>
      <w:pPr>
        <w:spacing w:before="40" w:after="40"/>
        <w:ind w:left="283"/>
      </w:pPr>
      <w:r>
        <w:rPr>
          <w:rFonts w:ascii="Calibri" w:hAnsi="Calibri"/>
          <w:b/>
          <w:color w:val="4A6B25"/>
          <w:sz w:val="20"/>
        </w:rPr>
        <w:t xml:space="preserve">2. </w:t>
      </w:r>
      <w:r>
        <w:rPr>
          <w:rFonts w:ascii="Calibri" w:hAnsi="Calibri"/>
          <w:b w:val="0"/>
          <w:color w:val="3A4A28"/>
          <w:sz w:val="20"/>
        </w:rPr>
        <w:t>Auto cycle cyclicality and OEM concentration risk, particularly in Europe and China [1]</w:t>
      </w:r>
    </w:p>
    <w:p>
      <w:pPr>
        <w:spacing w:before="40" w:after="40"/>
        <w:ind w:left="283"/>
      </w:pPr>
      <w:r>
        <w:rPr>
          <w:rFonts w:ascii="Calibri" w:hAnsi="Calibri"/>
          <w:b/>
          <w:color w:val="4A6B25"/>
          <w:sz w:val="20"/>
        </w:rPr>
        <w:t xml:space="preserve">3. </w:t>
      </w:r>
      <w:r>
        <w:rPr>
          <w:rFonts w:ascii="Calibri" w:hAnsi="Calibri"/>
          <w:b w:val="0"/>
          <w:color w:val="3A4A28"/>
          <w:sz w:val="20"/>
        </w:rPr>
        <w:t>R&amp;D intensity below tech-forward peers may limit electrification product competitiveness [2]</w:t>
      </w:r>
    </w:p>
    <w:p>
      <w:pPr>
        <w:spacing w:before="40" w:after="40"/>
        <w:ind w:left="283"/>
      </w:pPr>
      <w:r>
        <w:rPr>
          <w:rFonts w:ascii="Calibri" w:hAnsi="Calibri"/>
          <w:b/>
          <w:color w:val="4A6B25"/>
          <w:sz w:val="20"/>
        </w:rPr>
        <w:t xml:space="preserve">4. </w:t>
      </w:r>
      <w:r>
        <w:rPr>
          <w:rFonts w:ascii="Calibri" w:hAnsi="Calibri"/>
          <w:b w:val="0"/>
          <w:color w:val="3A4A28"/>
          <w:sz w:val="20"/>
        </w:rPr>
        <w:t>Post-bankruptcy leverage creating refinancing risk if credit conditions tighten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Turbochargers and electric boosting systems are physical-world engineered components designed and manufactured for specific OEM platforms — AI cannot structurally displace the hardware content. The long-term risk to Garrett is not AI but rather the ICE-to-EV transition (EVs don't need turbochargers), which is a separate displacement risk. For the core hardware business, AI is an enabler (predictive maintenance, software-defined vehicle features) rather than a substitute. Analysts are not warning of AI disruption to turbocharger demand [1][2]. AI Opportunity (0/1): Garrett is developing AI-enabled predictive maintenance and cybersecurity for connected vehicles but has not disclosed material AI revenue contribution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46</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Air Quality </w:t>
      </w:r>
      <w:r>
        <w:rPr>
          <w:rFonts w:ascii="Calibri" w:hAnsi="Calibri"/>
          <w:b w:val="0"/>
          <w:color w:val="9DAF88"/>
          <w:sz w:val="17"/>
        </w:rPr>
        <w:t xml:space="preserve">  ·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Data Security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Waste and Hazmat Management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Garrett Motion Q4 CY2025 Earnings Release, 2026 Guidance, and $250M Share Repurchase announcement, February 2026</w:t>
      </w:r>
    </w:p>
    <w:p>
      <w:pPr>
        <w:spacing w:before="20" w:after="20"/>
        <w:ind w:left="170"/>
      </w:pPr>
      <w:r>
        <w:rPr>
          <w:rFonts w:ascii="Calibri" w:hAnsi="Calibri"/>
          <w:b/>
          <w:color w:val="4A6B25"/>
          <w:sz w:val="15"/>
        </w:rPr>
        <w:t xml:space="preserve">2. </w:t>
      </w:r>
      <w:r>
        <w:rPr>
          <w:rFonts w:ascii="Calibri" w:hAnsi="Calibri"/>
          <w:b w:val="0"/>
          <w:color w:val="3A4A28"/>
          <w:sz w:val="17"/>
        </w:rPr>
        <w:t>Garrett Motion Leadership page, Glassdoor reviews, and Simply Wall St management analysis, 2025-2026</w:t>
      </w:r>
    </w:p>
    <w:p>
      <w:pPr>
        <w:spacing w:before="20" w:after="20"/>
        <w:ind w:left="170"/>
      </w:pPr>
      <w:r>
        <w:rPr>
          <w:rFonts w:ascii="Calibri" w:hAnsi="Calibri"/>
          <w:b/>
          <w:color w:val="4A6B25"/>
          <w:sz w:val="15"/>
        </w:rPr>
        <w:t xml:space="preserve">3. </w:t>
      </w:r>
      <w:r>
        <w:rPr>
          <w:rFonts w:ascii="Calibri" w:hAnsi="Calibri"/>
          <w:b w:val="0"/>
          <w:color w:val="3A4A28"/>
          <w:sz w:val="17"/>
        </w:rPr>
        <w:t>Garrett Motion 2021 Sustainability Report and EcoVadis silver medal / CDP ratings, 2022-2025</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