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GUTS</w:t>
      </w:r>
      <w:r>
        <w:rPr>
          <w:rFonts w:ascii="Calibri" w:hAnsi="Calibri"/>
          <w:b/>
          <w:color w:val="1A2010"/>
          <w:sz w:val="40"/>
        </w:rPr>
        <w:t xml:space="preserve">  Fractyl Health, Inc.</w:t>
      </w:r>
    </w:p>
    <w:p>
      <w:pPr>
        <w:spacing w:after="120"/>
      </w:pPr>
      <w:r>
        <w:rPr>
          <w:rFonts w:ascii="Calibri" w:hAnsi="Calibri"/>
          <w:b/>
          <w:color w:val="6E8450"/>
          <w:sz w:val="18"/>
        </w:rPr>
        <w:t>GROWTH SLEEVE · 2026-03-31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Fractyl Health, Inc. is a clinical-stage metabolic therapeutics company developing therapies for type 2 diabetes and obesity, including the Revita DMR System for duodenal resurfacing and Rejuva, an AAV-delivered pancreatic gene therapy platform.</w:t>
      </w:r>
    </w:p>
    <w:p>
      <w:r>
        <w:rPr>
          <w:rFonts w:ascii="Calibri" w:hAnsi="Calibri"/>
          <w:b/>
          <w:color w:val="6E8450"/>
          <w:sz w:val="18"/>
        </w:rPr>
        <w:t>https://fractyl.com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Fractyl has pivoted from a pure diabetes device company to targeting the post-GLP-1 weight maintenance category, a meaningful strategic repositioning that earned FDA Breakthrough Device designation for Revita [1][2]. AI Deployment (0/2): No AI products or AI-driven cost savings reported; the company's innovation is in medical devices and gene therapy, not AI [3]. Market Share Leadership (1/2): Fractyl is a first-mover in the post-GLP-1 weight maintenance niche with no approved competitors yet, but the market doesn't exist until approval [2]. Product Pipeline (2/2): Specific pipeline visibility with REMAIN-1 pivotal topline data expected Q4 2026, potential PMA filing late 2026, and first-in-human Rejuva dosing planned H2 2026 [1]. R&amp;D Intensity (0/1): R&amp;D spend is high in absolute terms ($96.8M operating expenses in 2025) but meaningless as a percentage of near-zero revenue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Fractyl's stated mission to 'pioneer breakthrough therapies that address the root causes of metabolic disease' is clear and identifies a specific problem but is not distinctive enough to stand apart from dozens of biotech peers making similar claims [5]. Community &amp; Charitable Impact (0/2): No evidence of charitable programs, foundation, or community investment beyond clinical trial operations [6]. Employee Retention (0/2): Glassdoor reviews cite disorganization, senior management indifference, lack of career opportunities, and no 401k match — suggesting a low-retention environment [3]. Insider Buying (1/2): CEO Dr. Harith Rajagopalan holds significant stock-based compensation (87.6% of $4.86M total comp), but no evidence of meaningful open-market insider purchases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Pre-revenue clinical-stage biotech with catastrophic fundamentals. D/E of 651.8% far exceeds the 300% floor, ROE is negative at -7.4%, and profit margin is 0% on essentially zero revenue ($3K TTM) [7]. The company burned $86.8M in free cash flow in the last 12 months against $85.6M in cash, providing runway only into early 2027 [1]. Forward P/E is negative (unprofitable). All available quantitative metrics score 0.0, yielding an infrastructure score of 0/10.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Fractyl demonstrates a genuine cause in solving metabolic disease at its root rather than treating symptoms, but the company's short runway, pre-revenue status, and negative employee sentiment undermine the organizational foundation needed for infinite game play.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Fractyl's vision of addressing the root causes of metabolic disease in the gut — rather than managing symptoms with chronic medication — represents a genuine, distinctive cause that connects to a larger purpose. CEO Dr. Rajagopalan, a physician-scientist with 16 years at the helm, has maintained this vision through multiple pivots [3][5]. However, the cause hasn't yet been validated by market success or survived a true existential crisis.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disorganized company where 'senior management does not seem to care about their employees,' with complaints about inefficient processes, minimal career opportunities, and no 401k match [3]. While management tenure averages 10 years, this reflects founder loyalty rather than broad organizational trust. No evidence of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Fractyl positions itself as a category creator in post-GLP-1 weight maintenance rather than competing against established players. The company's language focuses on 'defining' a new category rather than learning from rivals' strengths [1][2]. No evidence of management citing competitors' advantages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Fractyl has demonstrated meaningful strategic flexibility by pivoting from its original T2D-only focus to the post-GLP-1 weight maintenance category, recognizing the GLP-1 revolution created a massive adjacent opportunity [1]. The company also streamlined its pipeline in 2025 to focus on Revita and Rejuva, deprioritizing other programs. These were incremental,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Rajagopalan has led Fractyl for 16 years through multiple pivots without commercial revenue, demonstrating commitment to the long-term vision [3]. The 2025 decision to streamline the pipeline and focus resources on Revita and Rejuva showed willingness to sacrifice breadth for depth. However, the company's ongoing dilutive capital raises and lack of a proven path to profitability temper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Fractyl Health occupies a potentially valuable niche as the first-mover in post-GLP-1 weight maintenance, targeting the estimated 70% of patients who regain weight after discontinuing GLP-1 medications. The Revita DMR System's FDA Breakthrough Device designation and compelling 6-month REMAIN-1 data (70% less weight regain) provide clinical validation, with pivotal topline data and a potential PMA filing both expected in late 2026 [1][2]. The Rejuva gene therapy platform adds a second high-value shot on goal in metabolic disease.</w:t>
      </w:r>
    </w:p>
    <w:p>
      <w:pPr>
        <w:spacing w:after="120"/>
      </w:pPr>
      <w:r>
        <w:rPr>
          <w:rFonts w:ascii="Calibri" w:hAnsi="Calibri"/>
          <w:b w:val="0"/>
          <w:color w:val="3A4A28"/>
          <w:sz w:val="20"/>
        </w:rPr>
        <w:t>However, the investment case is severely challenged by pre-revenue status ($3K TTM revenue), catastrophic balance sheet metrics (D/E 651%, negative ROE), and a cash burn rate of ~$87M/year against $85.6M in cash — implying dilutive capital raises are inevitable before any commercial revenue materializes [4][7]. The stock trades at $0.46 with a $74M market cap, reflecting significant execution, regulatory, and financing risk. A single clinical setback in REMAIN-1 could be existential. This is a speculative binary outcome — either the post-GLP-1 category materializes and Fractyl leads it, or the company runs out of runway.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REMAIN-1 pivotal topline 6-month data expected Q4 2026 — positive results could validate the post-GLP-1 weight maintenance category and support PMA filing [1]</w:t>
      </w:r>
    </w:p>
    <w:p>
      <w:pPr>
        <w:spacing w:before="40" w:after="40"/>
        <w:ind w:left="283"/>
      </w:pPr>
      <w:r>
        <w:rPr>
          <w:rFonts w:ascii="Calibri" w:hAnsi="Calibri"/>
          <w:b/>
          <w:color w:val="4A6B25"/>
          <w:sz w:val="20"/>
        </w:rPr>
        <w:t xml:space="preserve">2. </w:t>
      </w:r>
      <w:r>
        <w:rPr>
          <w:rFonts w:ascii="Calibri" w:hAnsi="Calibri"/>
          <w:b w:val="0"/>
          <w:color w:val="3A4A28"/>
          <w:sz w:val="20"/>
        </w:rPr>
        <w:t>Potential PMA filing with FDA in late Q4 2026 under Breakthrough Device pathway, which could accelerate the review timeline [2]</w:t>
      </w:r>
    </w:p>
    <w:p>
      <w:pPr>
        <w:spacing w:before="40" w:after="40"/>
        <w:ind w:left="283"/>
      </w:pPr>
      <w:r>
        <w:rPr>
          <w:rFonts w:ascii="Calibri" w:hAnsi="Calibri"/>
          <w:b/>
          <w:color w:val="4A6B25"/>
          <w:sz w:val="20"/>
        </w:rPr>
        <w:t xml:space="preserve">3. </w:t>
      </w:r>
      <w:r>
        <w:rPr>
          <w:rFonts w:ascii="Calibri" w:hAnsi="Calibri"/>
          <w:b w:val="0"/>
          <w:color w:val="3A4A28"/>
          <w:sz w:val="20"/>
        </w:rPr>
        <w:t>First-in-human dosing of Rejuva (RJVA-001) gene therapy planned H2 2026, opening a second therapeutic platform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into early 2027, making dilutive capital raises virtually certain before any commercial revenue — potentially at deeply discounted prices given the sub-$1 stock price [4]</w:t>
      </w:r>
    </w:p>
    <w:p>
      <w:pPr>
        <w:spacing w:before="40" w:after="40"/>
        <w:ind w:left="283"/>
      </w:pPr>
      <w:r>
        <w:rPr>
          <w:rFonts w:ascii="Calibri" w:hAnsi="Calibri"/>
          <w:b/>
          <w:color w:val="4A6B25"/>
          <w:sz w:val="20"/>
        </w:rPr>
        <w:t xml:space="preserve">2. </w:t>
      </w:r>
      <w:r>
        <w:rPr>
          <w:rFonts w:ascii="Calibri" w:hAnsi="Calibri"/>
          <w:b w:val="0"/>
          <w:color w:val="3A4A28"/>
          <w:sz w:val="20"/>
        </w:rPr>
        <w:t>REMAIN-1 pivotal failure or FDA rejection would be existential for a single-product company with no commercial revenue and limited cash reserves [1]</w:t>
      </w:r>
    </w:p>
    <w:p>
      <w:pPr>
        <w:spacing w:before="40" w:after="40"/>
        <w:ind w:left="283"/>
      </w:pPr>
      <w:r>
        <w:rPr>
          <w:rFonts w:ascii="Calibri" w:hAnsi="Calibri"/>
          <w:b/>
          <w:color w:val="4A6B25"/>
          <w:sz w:val="20"/>
        </w:rPr>
        <w:t xml:space="preserve">3. </w:t>
      </w:r>
      <w:r>
        <w:rPr>
          <w:rFonts w:ascii="Calibri" w:hAnsi="Calibri"/>
          <w:b w:val="0"/>
          <w:color w:val="3A4A28"/>
          <w:sz w:val="20"/>
        </w:rPr>
        <w:t>The post-GLP-1 weight maintenance market assumes patients discontinue GLP-1s in large numbers, but manufacturers like Novo Nordisk and Eli Lilly are developing longer-acting formulations that may reduce discontinuation rates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Fractyl's core business — endoscopic duodenal resurfacing (Revita) and pancreatic gene therapy (Rejuva) — involves physical medical procedures and biological interventions that AI structurally cannot replace [2]. The obesity/diabetes treatment market may see AI-enhanced diagnostics and monitoring (e.g., Roche's AI-powered CGM), but AI cannot substitute for a physical tissue-modifying procedure or gene therapy delivery [3]. Analysts flag clinical and regulatory risk, not AI disruption risk. AI Opportunity (0/1): No AI-related revenue or AI-powered products; Fractyl's innovation is purely in medical devices and biologics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Fractyl Health press release: 'Enters a Catalyst-Rich 2026 Positioned to Define the Post-GLP-1 Weight Maintenance Therapeutic Category,' January 2026</w:t>
      </w:r>
    </w:p>
    <w:p>
      <w:pPr>
        <w:spacing w:before="20" w:after="20"/>
        <w:ind w:left="170"/>
      </w:pPr>
      <w:r>
        <w:rPr>
          <w:rFonts w:ascii="Calibri" w:hAnsi="Calibri"/>
          <w:b/>
          <w:color w:val="4A6B25"/>
          <w:sz w:val="15"/>
        </w:rPr>
        <w:t xml:space="preserve">2. </w:t>
      </w:r>
      <w:r>
        <w:rPr>
          <w:rFonts w:ascii="Calibri" w:hAnsi="Calibri"/>
          <w:b w:val="0"/>
          <w:color w:val="3A4A28"/>
          <w:sz w:val="17"/>
        </w:rPr>
        <w:t>Fractyl Health press release: 'Completes Randomization in REMAIN-1 Pivotal Cohort,' February 2026</w:t>
      </w:r>
    </w:p>
    <w:p>
      <w:pPr>
        <w:spacing w:before="20" w:after="20"/>
        <w:ind w:left="170"/>
      </w:pPr>
      <w:r>
        <w:rPr>
          <w:rFonts w:ascii="Calibri" w:hAnsi="Calibri"/>
          <w:b/>
          <w:color w:val="4A6B25"/>
          <w:sz w:val="15"/>
        </w:rPr>
        <w:t xml:space="preserve">3. </w:t>
      </w:r>
      <w:r>
        <w:rPr>
          <w:rFonts w:ascii="Calibri" w:hAnsi="Calibri"/>
          <w:b w:val="0"/>
          <w:color w:val="3A4A28"/>
          <w:sz w:val="17"/>
        </w:rPr>
        <w:t>Fractyl Health CEO and leadership data, Glassdoor reviews, and Simply Wall St management analysis,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Fractyl Health Q4 and Full Year 2025 Financial Results, March 2026</w:t>
      </w:r>
    </w:p>
    <w:p>
      <w:pPr>
        <w:spacing w:before="20" w:after="20"/>
        <w:ind w:left="170"/>
      </w:pPr>
      <w:r>
        <w:rPr>
          <w:rFonts w:ascii="Calibri" w:hAnsi="Calibri"/>
          <w:b/>
          <w:color w:val="4A6B25"/>
          <w:sz w:val="15"/>
        </w:rPr>
        <w:t xml:space="preserve">5. </w:t>
      </w:r>
      <w:r>
        <w:rPr>
          <w:rFonts w:ascii="Calibri" w:hAnsi="Calibri"/>
          <w:b w:val="0"/>
          <w:color w:val="3A4A28"/>
          <w:sz w:val="17"/>
        </w:rPr>
        <w:t>Fractyl Health company website — About page and mission statement, accessed March 2026</w:t>
      </w:r>
    </w:p>
    <w:p>
      <w:pPr>
        <w:spacing w:before="20" w:after="20"/>
        <w:ind w:left="170"/>
      </w:pPr>
      <w:r>
        <w:rPr>
          <w:rFonts w:ascii="Calibri" w:hAnsi="Calibri"/>
          <w:b/>
          <w:color w:val="4A6B25"/>
          <w:sz w:val="15"/>
        </w:rPr>
        <w:t xml:space="preserve">6. </w:t>
      </w:r>
      <w:r>
        <w:rPr>
          <w:rFonts w:ascii="Calibri" w:hAnsi="Calibri"/>
          <w:b w:val="0"/>
          <w:color w:val="3A4A28"/>
          <w:sz w:val="17"/>
        </w:rPr>
        <w:t>Sustainable Platform — Fractyl Health SDG data, accessed March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GUTS key statistics and financial data,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