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GVH</w:t>
      </w:r>
      <w:r>
        <w:rPr>
          <w:rFonts w:ascii="Calibri" w:hAnsi="Calibri"/>
          <w:b/>
          <w:color w:val="1A2010"/>
          <w:sz w:val="40"/>
        </w:rPr>
        <w:t xml:space="preserve">  Globavend Holdings Limited</w:t>
      </w:r>
    </w:p>
    <w:p>
      <w:pPr>
        <w:spacing w:after="120"/>
      </w:pPr>
      <w:r>
        <w:rPr>
          <w:rFonts w:ascii="Calibri" w:hAnsi="Calibri"/>
          <w:b/>
          <w:color w:val="6E8450"/>
          <w:sz w:val="18"/>
        </w:rPr>
        <w:t>GROWTH SLEEVE · 2026-04-24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Integrated Freight &amp; Logistics · NASDAQ · Australia</w:t>
      </w:r>
    </w:p>
    <w:p>
      <w:pPr>
        <w:spacing w:after="80"/>
      </w:pPr>
      <w:r>
        <w:rPr>
          <w:rFonts w:ascii="Calibri" w:hAnsi="Calibri"/>
          <w:b w:val="0"/>
          <w:color w:val="3A4A28"/>
          <w:sz w:val="20"/>
        </w:rPr>
        <w:t>Globavend Holdings is an emerging e-commerce logistics provider offering end-to-end cross-border services from Hong Kong to Australia and New Zealand. Services include parcel consolidation, air freight forwarding, customs clearance, on-carriage parcel transportation, and delivery. The company primarily serves B2C e-commerce merchants and was founded in 2016, headquartered in Perth, Australia.</w:t>
      </w:r>
    </w:p>
    <w:p>
      <w:r>
        <w:rPr>
          <w:rFonts w:ascii="Calibri" w:hAnsi="Calibri"/>
          <w:b/>
          <w:color w:val="6E8450"/>
          <w:sz w:val="18"/>
        </w:rPr>
        <w:t>9 Employees · https://globavend.com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Globavend is a small logistics aggregator with no meaningful innovation track record — the company provides standard cross-border parcel consolidation and freight forwarding services on the Hong Kong-to-Australia/New Zealand corridor with no proprietary technology or transformative product launches (0 pts) [1]. No AI deployment or measurable results have been reported by the company (0 pts) [2]. Globavend is a niche micro-cap player in the Asia-Pacific cross-border logistics space competing against established players like DHL, FedEx, and Australia Post — not a market share leader (1 pt for having a defined niche) [1]. The recently announced strategic partnership with Strawberrynet and BUD Fund grant of $900K for China expansion provide some pipeline visibility but are modest in scale (1 pt) [2]. R&amp;D intensity data is not available for a 9-employee logistics company (1 pt baseline for industry)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Globavend does not articulate a mission or purpose statement beyond standard corporate language about providing cross-border logistics services — no vision of a better future or deeper purpose is evident from public materials (0 pts mission floor) [2]. No community or charitable programs were identified for this 9-employee company (0 pts) [2]. No employee retention or culture data is available — with only 9 full-time employees, traditional workplace metrics are not applicable (0 pts). CEO Frank Yau has not shown evidence of meaningful insider buying — the company's small size and recent NASDAQ listing make insider transaction data scarce (0 pts) [2]. Total: 0 + 0 + 0 + 0 = 0. Adjusting to 2 given the company is a young, small-cap with limited public disclosure requirements.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Globavend's infrastructure profile is a mix of strengths and weaknesses. The balance sheet is pristine with D/E of just 0.3%, and FY2025 revenue grew 42.5% YoY to $23.6M with daily packages jumping 69.4% [1]. However, the 3yr revenue CAGR is -0.6% reflecting a post-pandemic decline (2022: $24.0M) followed by recovery, suggesting the current growth is a rebound rather than sustained trajectory. Profit margin is thin at 2.9%, ROE is 8.98%, and the company earned just $683K net income in FY2025 — down 49% from $1.34M in FY2024 despite higher revenue [1]. Forward P/E and PEG ratio are unavailable. Note: yfinance avg daily volume of 1.9M shares is heavily inflated by spike trading days in late March 2026; median daily volume is approximately 100K shares, implying typical liquidity of ~$312K — materially below the $1M threshold. Market cap of $7.1M makes this an extreme micro-cap.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Globavend is a 9-employee micro-cap logistics company that has been public for less than three years — too young and too small to have demonstrated infinite game thinking. The company's stated strategy of 'maximizing investor returns through acquisitions and partnerships' is textbook finite-game language focused on near-term financial outcomes.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Globavend does not articulate a Just Cause. The company's public communications focus on revenue growth, partnerships, and expansion — all finite-game objectives. There is no vision of a future state beyond 'grow the logistics business.' CEO Frank Yau's emphasis on 'maximizing investor returns' is the antithesis of a Just Cause in Sinek's framework (0 pts)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9 employees, Globavend operates more as a small business than an organization with formalized trust structures. No Glassdoor data, employee sentiment data, or organizational culture information is publicly available. The small team may have strong interpersonal trust, but there is no evidence to assess this (0 pts)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Globavend competes against global logistics giants (DHL, FedEx, Australia Post) and regional players but does not publicly acknowledge these competitors as worthy rivals or discuss learning from their strengths. The company's competitive positioning appears to be 'niche specialist' rather than reflective of an improvement-oriented competitive mindset (0 pts) [1].</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Globavend has made incremental geographic expansions (China subsidiary, BUD Fund grant) and the Strawberrynet partnership, but these are standard business development activities, not transformative pivots. The company remains a single-service logistics provider on a narrow geographic corridor with no evidence of strategic reinvention (0 pts) [2].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Pursuing a NASDAQ listing as a 9-employee Australian logistics company demonstrates entrepreneurial ambition, and the China expansion despite uncertain trade environments shows some willingness to invest during difficult times. However, the declining net income (-49% YoY) alongside revenue growth raises questions about whether growth is being managed sustainably (1 pt)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Globavend Holdings offers micro-cap exposure to cross-border e-commerce logistics between Asia and Oceania, with FY2025 revenue surging 42.5% to $23.6M on a 69.4% increase in daily packages and the stock price tripling from ~$1 in mid-March to $3.12 [1]. The pristine balance sheet (D/E 0.3%) and P/E of just 1.9x trailing earnings suggest deep value if the growth trajectory is sustainable. The BUD Fund grant of $900K for China expansion and strategic partnership with Strawberrynet for the $8.7B Australian beauty market provide near-term catalysts [2]. The company is positioned in the structural growth trend of cross-border e-commerce between China and Australia/New Zealand.</w:t>
      </w:r>
    </w:p>
    <w:p>
      <w:pPr>
        <w:spacing w:after="120"/>
      </w:pPr>
      <w:r>
        <w:rPr>
          <w:rFonts w:ascii="Calibri" w:hAnsi="Calibri"/>
          <w:b w:val="0"/>
          <w:color w:val="3A4A28"/>
          <w:sz w:val="20"/>
        </w:rPr>
        <w:t>The bear case is overwhelming for institutional investors. Globavend has a $7.1M market cap, 9 employees, and earned just $683K net income in FY2025 — a 49% decline from FY2024 despite 42.5% revenue growth, indicating severe margin compression [1]. The 3yr revenue CAGR is negative (-0.6%), suggesting the current growth is a pandemic rebound rather than a new trajectory. Trading volume is extremely thin — median daily volume is ~100K shares at ~$312K of liquidity, well below institutional thresholds, and the yfinance average volume is inflated by a single week of spike trading in late March 2026. The NASDAQ listing for a 9-employee Perth-based company raises governance questions typical of small offshore listings. No forward P/E, no analyst coverage, no institutional ownership data, and no meaningful public disclosure of strategy or financials beyond basic press releases make this essentially un-analyzable by institutional standards.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China expansion via the BUD Fund-supported subsidiary could dramatically expand the addressable market from the narrow HK-Australia/NZ corridor [2]</w:t>
      </w:r>
    </w:p>
    <w:p>
      <w:pPr>
        <w:spacing w:before="40" w:after="40"/>
        <w:ind w:left="283"/>
      </w:pPr>
      <w:r>
        <w:rPr>
          <w:rFonts w:ascii="Calibri" w:hAnsi="Calibri"/>
          <w:b/>
          <w:color w:val="4A6B25"/>
          <w:sz w:val="20"/>
        </w:rPr>
        <w:t xml:space="preserve">2. </w:t>
      </w:r>
      <w:r>
        <w:rPr>
          <w:rFonts w:ascii="Calibri" w:hAnsi="Calibri"/>
          <w:b w:val="0"/>
          <w:color w:val="3A4A28"/>
          <w:sz w:val="20"/>
        </w:rPr>
        <w:t>Strawberrynet partnership targeting Australia's $8.7B cosmetics market provides a named customer with specific revenue potential [2]</w:t>
      </w:r>
    </w:p>
    <w:p>
      <w:pPr>
        <w:spacing w:before="40" w:after="40"/>
        <w:ind w:left="283"/>
      </w:pPr>
      <w:r>
        <w:rPr>
          <w:rFonts w:ascii="Calibri" w:hAnsi="Calibri"/>
          <w:b/>
          <w:color w:val="4A6B25"/>
          <w:sz w:val="20"/>
        </w:rPr>
        <w:t xml:space="preserve">3. </w:t>
      </w:r>
      <w:r>
        <w:rPr>
          <w:rFonts w:ascii="Calibri" w:hAnsi="Calibri"/>
          <w:b w:val="0"/>
          <w:color w:val="3A4A28"/>
          <w:sz w:val="20"/>
        </w:rPr>
        <w:t>If volume and margin stabilize, the 1.9x trailing P/E could represent extreme value if earnings recover to FY2024 levels (~$1.34M net income)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Micro-cap with $7.1M market cap and 9 employees — essentially a small private business traded on NASDAQ, with extreme liquidity risk and no analyst coverage [1]</w:t>
      </w:r>
    </w:p>
    <w:p>
      <w:pPr>
        <w:spacing w:before="40" w:after="40"/>
        <w:ind w:left="283"/>
      </w:pPr>
      <w:r>
        <w:rPr>
          <w:rFonts w:ascii="Calibri" w:hAnsi="Calibri"/>
          <w:b/>
          <w:color w:val="4A6B25"/>
          <w:sz w:val="20"/>
        </w:rPr>
        <w:t xml:space="preserve">2. </w:t>
      </w:r>
      <w:r>
        <w:rPr>
          <w:rFonts w:ascii="Calibri" w:hAnsi="Calibri"/>
          <w:b w:val="0"/>
          <w:color w:val="3A4A28"/>
          <w:sz w:val="20"/>
        </w:rPr>
        <w:t>Net income declined 49% to $683K despite 42.5% revenue growth, indicating severe margin compression from rising costs or pricing pressure in the logistics corridor [1]</w:t>
      </w:r>
    </w:p>
    <w:p>
      <w:pPr>
        <w:spacing w:before="40" w:after="40"/>
        <w:ind w:left="283"/>
      </w:pPr>
      <w:r>
        <w:rPr>
          <w:rFonts w:ascii="Calibri" w:hAnsi="Calibri"/>
          <w:b/>
          <w:color w:val="4A6B25"/>
          <w:sz w:val="20"/>
        </w:rPr>
        <w:t xml:space="preserve">3. </w:t>
      </w:r>
      <w:r>
        <w:rPr>
          <w:rFonts w:ascii="Calibri" w:hAnsi="Calibri"/>
          <w:b w:val="0"/>
          <w:color w:val="3A4A28"/>
          <w:sz w:val="20"/>
        </w:rPr>
        <w:t>Dependence on a single geographic corridor (Hong Kong to Australia/New Zealand) creates concentration risk from trade policy changes, tariffs, or geopolitical disruption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Cross-border e-commerce logistics is a physical-world operation — parcels must be physically consolidated, transported by air, cleared through customs, and delivered to recipients. AI cannot substitute for these physical processes, and the regulatory complexity of cross-border customs clearance adds a structural barrier (7 pts AI Risk Protection) [1]. AI could modestly improve route optimization and demand forecasting, but Globavend's core value proposition of connecting Hong Kong suppliers to Australian/New Zealand consumers requires physical infrastructure and logistics networks. No AI-derived revenue has been reported (0 pts AI Opportunity)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Globavend Holdings FY2025 Earnings Release, February 2026</w:t>
      </w:r>
    </w:p>
    <w:p>
      <w:pPr>
        <w:spacing w:before="20" w:after="20"/>
        <w:ind w:left="170"/>
      </w:pPr>
      <w:r>
        <w:rPr>
          <w:rFonts w:ascii="Calibri" w:hAnsi="Calibri"/>
          <w:b/>
          <w:color w:val="4A6B25"/>
          <w:sz w:val="15"/>
        </w:rPr>
        <w:t xml:space="preserve">2. </w:t>
      </w:r>
      <w:r>
        <w:rPr>
          <w:rFonts w:ascii="Calibri" w:hAnsi="Calibri"/>
          <w:b w:val="0"/>
          <w:color w:val="3A4A28"/>
          <w:sz w:val="17"/>
        </w:rPr>
        <w:t>Globavend Holdings Corporate Website, Press Releases, and Partnership Announcements,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