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w:t>
      </w:r>
      <w:r>
        <w:rPr>
          <w:rFonts w:ascii="Calibri" w:hAnsi="Calibri"/>
          <w:b/>
          <w:color w:val="1A2010"/>
          <w:sz w:val="40"/>
        </w:rPr>
        <w:t xml:space="preserve">  Genpact Limited</w:t>
      </w:r>
    </w:p>
    <w:p>
      <w:pPr>
        <w:spacing w:after="120"/>
      </w:pPr>
      <w:r>
        <w:rPr>
          <w:rFonts w:ascii="Calibri" w:hAnsi="Calibri"/>
          <w:b/>
          <w:color w:val="6E8450"/>
          <w:sz w:val="18"/>
        </w:rPr>
        <w:t>DIVIDEND SLEEVE · 2026-04-17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Bermuda</w:t>
      </w:r>
    </w:p>
    <w:p>
      <w:pPr>
        <w:spacing w:after="80"/>
      </w:pPr>
      <w:r>
        <w:rPr>
          <w:rFonts w:ascii="Calibri" w:hAnsi="Calibri"/>
          <w:b w:val="0"/>
          <w:color w:val="3A4A28"/>
          <w:sz w:val="20"/>
        </w:rPr>
        <w:t>Genpact is a global professional services firm delivering digital transformation through AI-powered business process outsourcing and IT services across financial services, consumer/healthcare, and high-tech/manufacturing sectors. Operating with 146,500 employees, the company combines deep domain expertise with advanced technology solutions including its Agentic Operations platform and AI-driven process automation.</w:t>
      </w:r>
    </w:p>
    <w:p>
      <w:r>
        <w:rPr>
          <w:rFonts w:ascii="Calibri" w:hAnsi="Calibri"/>
          <w:b/>
          <w:color w:val="6E8450"/>
          <w:sz w:val="18"/>
        </w:rPr>
        <w:t>146,500 Employees · https://www.genpact.com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Genpact has successfully transformed from a GE-captive BPO spinoff (2005) to a diversified digital services firm, with Advanced Technology Solutions (ATS) growing 17% YoY to $1.204B in 2025, representing 24% of total revenue [1]. The pivot from labor-arbitrage BPO to AI-driven agentic operations represents a meaningful business model evolution. AI Deployment (2/2): Genpact is shipping AI products to customers — its AP agentic suite is seeing rapid client adoption, and ATS revenue of $1.204B (up 17%) represents quantifiable AI-driven revenue [1]. CEO BK Kalra states 'We are intentionally disrupting ourselves, building a new Genpact and defining the future of Agentic Operations' [2]. Market Share (1/2): Genpact is a meaningful player in the global IT services market but not a dominant leader — it competes with much larger firms (Accenture, TCS, Infosys) while differentiating on domain-specific AI solutions [3]. Pipeline (1/2): 2026 guidance of at least 7% revenue growth with ATS expected to grow in the high teens provides clear forward visibility, and the Agentic Operations platform represents a next-generation service model [1]. R&amp;D Intensity (1/1): Significant investment in AI, data analytics, and technology platforms, evidenced by the dedicated Chief Technology &amp; AI Officer role and expanded executive team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Genpact's purpose — 'The relentless pursuit of a world that works better for people' — is specific, thoughtful, and connects the company's outsourcing work to human impact [3]. This purpose has been consistently referenced across leadership transitions and strategic pivots, and it shapes the company's approach to AI as augmenting rather than replacing workers. Community Impact (1/2): Genpact has been recognized by Ethisphere as one of the World's Most Ethical Companies for seven consecutive years, demonstrating sustained commitment to ethical operations across 30+ countries [4]. The company's net-zero-by-2050 commitment is validated by Science-Based Targets Initiative. Employee Retention (1/2): With 146,500 employees across the globe, Genpact maintains adequate retention in a competitive IT services labor market, though BPO operations inherently face higher turnover than average [3]. Insider Buying (1/2): Institutional ownership exceeds 100%, but insider ownership is minimal at 0.6% — typical for a company of this size with professional management rather than founder-led governance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Genpact's financial profile is exceptionally strong. D/E of 69.2% is just below the 70% target with $1.2B cash partially offsetting $1.8B debt [5]. ROE of 22.4% exceeds the 15% target, demonstrating capital efficiency. Revenue grew 6.6% to $5.08B in 2025 with adjusted EPS up 11.3% to $3.65, and 2026 guidance of at least 7% growth suggests acceleration [1]. Forward P/E of 8.3x is exceptionally cheap — well below the 20x target — reflecting market concerns about AI disruption to IT services [5]. Profit margin of 10.9% is moderate but adjusted operating margin of 17.5% with 50bps expansion guided for 2026 shows operational leverage [1]. Operating cash flow of $812.9M and free cash flow of $768.4M demonstrate strong cash generation. Dividend yield of 2.05% with 21.7% payout ratio, 9 consecutive years of payments, and 11.6% 5-year dividend growth CAGR provide income quality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Genpact under CEO BK Kalra is demonstrating infinite game characteristics by deliberately cannibalizing its own labor-arbitrage business model to build an AI-first future. The company's willingness to 'intentionally disrupt ourselves' is rare in the IT services industry, where most competitors are clinging to traditional delivery models. The seven consecutive Ethisphere recognitions and consistent purpose statement across leadership transitions reflect organizational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Genpact's purpose — 'The relentless pursuit of a world that works better for people' — has been maintained across the GE spinoff, multiple CEO transitions, and the AI pivot [3]. It connects process optimization to human flourishing in a way that is distinctive for an IT services firm. The purpose has shaped the company's AI strategy (augmenting workers rather than eliminating them) and ESG commitments. However, the purpose has not been fully tested through a crisis that demanded sacrificing profitability.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Genpact's seven consecutive Ethisphere recognitions suggest an ethical organizational culture, and the expansion of the executive team in December 2025 with dedicated Chief People Officer and Chief Technology &amp; AI Officer roles shows investment in organizational capacity [2][4]. However, BPO operations globally face inherent challenges with employee engagement and retention at operational levels. The recent CEO transition (BK Kalra, February 2024) has been managed without disruption.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Genpact's investor communications explicitly reference Accenture, TCS, and Infosys as competitors whose scale and capabilities push Genpact to differentiate through deeper domain expertise and faster AI adoption [1]. The company's ATS strategy is explicitly framed as building capabilities that larger rivals struggle to replicate — domain-specific agentic operations rather than generic outsourcing.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Genpact has executed one major transformation — from GE's captive back-office operation to an independent, publicly traded digital services firm serving multiple industries [3]. The current AI pivot from labor-arbitrage BPO to Agentic Operations represents a second potential transformation, though it is still in early stages (ATS is 24% of revenue). The willingness to self-disrupt is promising but the outcome is uncertain.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BK Kalra's explicit strategy of 'intentionally disrupting ourselves' — investing heavily in AI automation that could cannibalize the company's own labor-intensive revenue base — demonstrates meaningful courage [2]. Growing ATS at 17% while accepting that it may reduce demand for traditional BPO services is a long-term bet that sacrifices near-term certainty for future relevance. Maintaining the dividend and raising guidance while executing this transition shows balanced courage.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Genpact offers a compelling value proposition at 8.3x forward P/E with accelerating AI-driven growth. Full-year 2025 revenue grew 6.6% to $5.08B, with ATS revenue surging 17% to $1.204B, demonstrating successful positioning at the intersection of AI and business process transformation [1]. Adjusted EPS of $3.65 grew 11.3% YoY, free cash flow of $768M represents a 15% FCF yield on the $6.2B market cap, and 2026 guidance of at least 7% revenue growth with margin expansion signals confidence [1]. The 2.05% dividend yield with 21.7% payout ratio and 11.6% 5-year dividend growth CAGR provides growing income. The stock trades 27% below its 52-week high of $50.41, creating a potential value entry point [5].</w:t>
      </w:r>
    </w:p>
    <w:p>
      <w:pPr>
        <w:spacing w:after="120"/>
      </w:pPr>
      <w:r>
        <w:rPr>
          <w:rFonts w:ascii="Calibri" w:hAnsi="Calibri"/>
          <w:b w:val="0"/>
          <w:color w:val="3A4A28"/>
          <w:sz w:val="20"/>
        </w:rPr>
        <w:t>The primary risk is that AI disruption may ultimately reduce demand for outsourced business processes faster than Genpact can transition to AI-enabled services. The Digital Operations segment (52% of revenue, growing only 4.1%) is the exposed legacy business, and the question is whether ATS growth can offset potential Digital Operations contraction as clients insource AI-automated processes [1]. Revenue growth of 6.6% is modest for a 'technology transformation' company, and the 5.0% 5-year revenue CAGR suggests the AI acceleration is recent rather than deeply established. Genpact competes against much larger rivals (Accenture at $65B revenue, TCS, Infosys) with greater scale and client relationships. The Bermuda incorporation and India-heavy operations create geopolitical risk, and the 0.6% insider ownership means management has limited skin in the game relative to the company's size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ATS revenue acceleration — high-teens growth guidance for 2026 in AI-powered services could accelerate as enterprise AI adoption increases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AI-driven automation — 2026 guidance of 50bps gross margin expansion to 36.5% demonstrates operating leverage as machine-processed work scales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 at 8.3x forward P/E, the stock is priced for disruption, and evidence of successful AI transition could drive multiple expansion toward peers trading at 15-20x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substitution risk — clients may use AI tools (ChatGPT, Microsoft Copilot) to insource work currently outsourced to Genpact, compressing the Digital Operations segment [2]</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larger IT services firms (Accenture, TCS, Infosys) with greater R&amp;D budgets and client relationships in AI transformation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 6.6% total growth is modest for the AI narrative, and failure to accelerate ATS growth could validate the market's disruption concerns reflected in the 8.3x forward P/E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Genpact operates in the eye of the AI disruption storm. As a business process outsourcing firm, its core revenue depends on human labor performing repetitive, rule-based tasks — precisely the work that AI agents, robotic process automation, and large language models are designed to automate [2]. The company's ATS segment (24% of revenue, growing 17%) shows it is actively building AI capabilities, but the Digital Operations segment (52% of revenue) remains exposed to substitution risk as clients adopt AI tools to insource previously outsourced work. Management acknowledges this by framing the strategy as 'intentionally disrupting ourselves' [2]. The transition from human-processed to machine-processed work could compress margins even if revenue grows. AI Opportunity (1/1): ATS revenue of $1.204B and the AP agentic suite represent meaningful, quantifiable AI revenue — Genpact is monetizing AI, not just talking about 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Genpact Q4 and Full Year 2025 Results — $5.08B revenue, 6.6% growth, ATS up 17%, February 5, 2026</w:t>
      </w:r>
    </w:p>
    <w:p>
      <w:pPr>
        <w:spacing w:before="20" w:after="20"/>
        <w:ind w:left="170"/>
      </w:pPr>
      <w:r>
        <w:rPr>
          <w:rFonts w:ascii="Calibri" w:hAnsi="Calibri"/>
          <w:b/>
          <w:color w:val="4A6B25"/>
          <w:sz w:val="15"/>
        </w:rPr>
        <w:t xml:space="preserve">2. </w:t>
      </w:r>
      <w:r>
        <w:rPr>
          <w:rFonts w:ascii="Calibri" w:hAnsi="Calibri"/>
          <w:b w:val="0"/>
          <w:color w:val="3A4A28"/>
          <w:sz w:val="17"/>
        </w:rPr>
        <w:t>Genpact Propels AI-First Strategy with New Executive Leadership Appointments, PRNewswire, December 2025</w:t>
      </w:r>
    </w:p>
    <w:p>
      <w:pPr>
        <w:spacing w:before="20" w:after="20"/>
        <w:ind w:left="170"/>
      </w:pPr>
      <w:r>
        <w:rPr>
          <w:rFonts w:ascii="Calibri" w:hAnsi="Calibri"/>
          <w:b/>
          <w:color w:val="4A6B25"/>
          <w:sz w:val="15"/>
        </w:rPr>
        <w:t xml:space="preserve">3. </w:t>
      </w:r>
      <w:r>
        <w:rPr>
          <w:rFonts w:ascii="Calibri" w:hAnsi="Calibri"/>
          <w:b w:val="0"/>
          <w:color w:val="3A4A28"/>
          <w:sz w:val="17"/>
        </w:rPr>
        <w:t>Genpact corporate website and leadership team, genpact.com</w:t>
      </w:r>
    </w:p>
    <w:p>
      <w:pPr>
        <w:spacing w:before="20" w:after="20"/>
        <w:ind w:left="170"/>
      </w:pPr>
      <w:r>
        <w:rPr>
          <w:rFonts w:ascii="Calibri" w:hAnsi="Calibri"/>
          <w:b/>
          <w:color w:val="4A6B25"/>
          <w:sz w:val="15"/>
        </w:rPr>
        <w:t xml:space="preserve">4. </w:t>
      </w:r>
      <w:r>
        <w:rPr>
          <w:rFonts w:ascii="Calibri" w:hAnsi="Calibri"/>
          <w:b w:val="0"/>
          <w:color w:val="3A4A28"/>
          <w:sz w:val="17"/>
        </w:rPr>
        <w:t>Genpact Sustainalytics ESG Rating and Ethisphere World's Most Ethical Companies recognition (7 consecutive years)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 (Genpact),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