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HALO</w:t>
      </w:r>
      <w:r>
        <w:rPr>
          <w:rFonts w:ascii="Calibri" w:hAnsi="Calibri"/>
          <w:b/>
          <w:color w:val="1A2010"/>
          <w:sz w:val="40"/>
        </w:rPr>
        <w:t xml:space="preserve">  Halozyme Therapeutics, Inc.</w:t>
      </w:r>
    </w:p>
    <w:p>
      <w:pPr>
        <w:spacing w:after="120"/>
      </w:pPr>
      <w:r>
        <w:rPr>
          <w:rFonts w:ascii="Calibri" w:hAnsi="Calibri"/>
          <w:b/>
          <w:color w:val="6E8450"/>
          <w:sz w:val="18"/>
        </w:rPr>
        <w:t>GROWTH SLEEVE · 2026-04-20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Halozyme Therapeutics, Inc. is a biopharmaceutical company that develops and commercializes proprietary enzyme technologies for drug delivery. Its patented ENHANZE platform (rHuPH20) enables subcutaneous delivery of injectable biologics, generating royalty revenue from major pharma partners including Roche, Janssen, Pfizer, AbbVie, and Bristol Myers Squibb.</w:t>
      </w:r>
    </w:p>
    <w:p>
      <w:r>
        <w:rPr>
          <w:rFonts w:ascii="Calibri" w:hAnsi="Calibri"/>
          <w:b/>
          <w:color w:val="6E8450"/>
          <w:sz w:val="18"/>
        </w:rPr>
        <w:t>423 Employees · https://halozyme.com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Halozyme's ENHANZE platform has become the industry standard for subcutaneous drug delivery, with partnerships spanning most major pharma companies and enabling blockbuster products like DARZALEX SC and Herceptin Hylecta [1]. Recent strategic moves expand the innovation moat: the Hypercon licensing deal with Vertex and acquisition of Surf Bio extend the platform into the 2040s with new delivery modalities [1]. The company has successfully transformed from a single-product biotech into a diversified royalty platform—a significant business model evolution. Market share leadership in SC delivery technology is dominant. However, AI deployment is limited and next-gen pipeline visibility beyond existing partnerships is moderate.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Dr. Helen Torley has led Halozyme since 2014 (11+ years), providing stable leadership through the company's transformation into a royalty-generating platform [2]. However, Glassdoor reviews reveal troubling cultural dynamics: employees describe 'fear-based, contradictory leadership' where the CEO 'preaches accountability and challenging status quo, but when you do, you are thrown in a pit of fire' [2]. The company emphasizes its 'One Team' culture, but reviews cite diversity/inclusion and senior leadership as common concerns. Total CEO compensation of $11.8M (92% stock-based) aligns incentives with shareholders, but organizational health appears strained beneath the financial success.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Halozyme delivered record revenue of $1.4B in 2025 (+38% YoY) with royalty revenue growing 52% to $868M, and 2026 guidance of $1.71-1.81B represents 23-30% continued growth [1]. Forward P/E of 7.1 is exceptionally attractive for a company growing at this rate. ROE of 153.6% reflects extreme capital efficiency. However, D/E of 4,460% is alarming—the company has taken on massive debt, likely for share buybacks and acquisitions. Profit margin of 22.7% is solid but below what a pure royalty model might suggest due to operating expenses. The asset-light royalty model generates substantial free cash flow but the leverage is a significant risk factor if interest rates remain elevated.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Halozyme plays a long game through its platform licensing model—each new partnership extends revenue visibility for decades. The Hypercon and Surf Bio acquisitions extend the platform into the 2040s. However, extreme leverage and fear-based leadership culture introduce finite-game elements that could undermine long-term organizational health.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Halozyme's purpose—enabling better patient experiences through subcutaneous delivery of IV drugs—is tangible and meaningful. Converting 45-minute IV infusions into 5-minute SC injections genuinely improves patients' lives [1]. The platform model means this benefit scales across dozens of therapeutic areas through partnerships. The extension into the 2040s via new technology acquisitions shows commitment beyond quarterly results.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a culture of fear where challenging the status quo—despite being encouraged—results in retaliation [2]. Employees cite contradictory leadership messages and concerns about diversity and inclusion. With only 423 employees, cultural issues at the top propagate quickly. The 'One Team' branding rings hollow against employee feedback describing senior leadership problems. High stock-based compensation may retain talent financially but doesn't build genuine trust.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Halozyme faces emerging competition from alternative drug delivery platforms (oral biologics, microneedle patches, inhaled delivery), and the failed Evotec acquisition attempt shows awareness of the need to expand capabilities [3]. The company's response—acquiring Hypercon and Surf Bio—demonstrates learning from competitive threats and building defensibility through technology expansion rather than complacency.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a single-enzyme company with one product (Hylenex) into a multi-billion-dollar royalty platform demonstrates extraordinary existential flexibility [1]. Recent acquisitions extending into new delivery modalities (Hypercon for next-gen formulations, Surf Bio for biologics) show continued willingness to evolve the platform. Clear line of sight to $2B+ revenue by 2028 based on contracted partnerships.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Torley's 11-year tenure has driven a remarkable strategic transformation, and the decision to pursue aggressive share buybacks and acquisitions (explaining the high leverage) shows conviction in the platform's durability [1]. The withdrawn Evotec acquisition showed willingness to walk away from a deal rather than overpay. However, internal leadership style concerns temper the courage score—true courage includes creating space for dissent.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Halozyme is a rare asset-light biotech with a proven royalty platform generating $1.4B in revenue growing 30%+ annually. The ENHANZE technology is embedded in multiple blockbuster drugs with contracted royalty streams extending decades, creating exceptional revenue visibility. A forward P/E of 7.1x for a 30% grower is deeply undervalued relative to growth.</w:t>
      </w:r>
    </w:p>
    <w:p>
      <w:pPr>
        <w:spacing w:after="120"/>
      </w:pPr>
      <w:r>
        <w:rPr>
          <w:rFonts w:ascii="Calibri" w:hAnsi="Calibri"/>
          <w:b w:val="0"/>
          <w:color w:val="3A4A28"/>
          <w:sz w:val="20"/>
        </w:rPr>
        <w:t>The primary concerns are extreme financial leverage (D/E &gt;4,400%) which amplifies downside risk in a rising rate environment, and cultural issues that could impair talent retention and innovation. Patent cliff risk exists as older partnerships mature, though recent technology acquisitions mitigate this. The stock's pullback from highs creates an attractive entry point for investors comfortable with the leverage risk and long-term patent portfolio dynamics.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$1.71-1.81B with royalty revenue exceeding $1B, driven by DARZALEX SC and other partner product ramps</w:t>
      </w:r>
    </w:p>
    <w:p>
      <w:pPr>
        <w:spacing w:before="40" w:after="40"/>
        <w:ind w:left="283"/>
      </w:pPr>
      <w:r>
        <w:rPr>
          <w:rFonts w:ascii="Calibri" w:hAnsi="Calibri"/>
          <w:b/>
          <w:color w:val="4A6B25"/>
          <w:sz w:val="20"/>
        </w:rPr>
        <w:t xml:space="preserve">2. </w:t>
      </w:r>
      <w:r>
        <w:rPr>
          <w:rFonts w:ascii="Calibri" w:hAnsi="Calibri"/>
          <w:b w:val="0"/>
          <w:color w:val="3A4A28"/>
          <w:sz w:val="20"/>
        </w:rPr>
        <w:t>Hypercon and Surf Bio acquisitions extending platform relevance into 2040s, with new partnership announcements expected</w:t>
      </w:r>
    </w:p>
    <w:p>
      <w:pPr>
        <w:spacing w:before="40" w:after="40"/>
        <w:ind w:left="283"/>
      </w:pPr>
      <w:r>
        <w:rPr>
          <w:rFonts w:ascii="Calibri" w:hAnsi="Calibri"/>
          <w:b/>
          <w:color w:val="4A6B25"/>
          <w:sz w:val="20"/>
        </w:rPr>
        <w:t xml:space="preserve">3. </w:t>
      </w:r>
      <w:r>
        <w:rPr>
          <w:rFonts w:ascii="Calibri" w:hAnsi="Calibri"/>
          <w:b w:val="0"/>
          <w:color w:val="3A4A28"/>
          <w:sz w:val="20"/>
        </w:rPr>
        <w:t>Adjusted EPS guidance of $7.75-$8.25 for 2026 implies rapid deleveraging and potential for dividend initiation or accelerated buybacks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ratio of 4,460% creates significant financial fragility—a revenue shortfall or rate spike could trigger credit concerns</w:t>
      </w:r>
    </w:p>
    <w:p>
      <w:pPr>
        <w:spacing w:before="40" w:after="40"/>
        <w:ind w:left="283"/>
      </w:pPr>
      <w:r>
        <w:rPr>
          <w:rFonts w:ascii="Calibri" w:hAnsi="Calibri"/>
          <w:b/>
          <w:color w:val="4A6B25"/>
          <w:sz w:val="20"/>
        </w:rPr>
        <w:t xml:space="preserve">2. </w:t>
      </w:r>
      <w:r>
        <w:rPr>
          <w:rFonts w:ascii="Calibri" w:hAnsi="Calibri"/>
          <w:b w:val="0"/>
          <w:color w:val="3A4A28"/>
          <w:sz w:val="20"/>
        </w:rPr>
        <w:t>Patent expiration on core rHuPH20 technology could enable biosimilar competition in the late 2020s, eroding royalty streams</w:t>
      </w:r>
    </w:p>
    <w:p>
      <w:pPr>
        <w:spacing w:before="40" w:after="40"/>
        <w:ind w:left="283"/>
      </w:pPr>
      <w:r>
        <w:rPr>
          <w:rFonts w:ascii="Calibri" w:hAnsi="Calibri"/>
          <w:b/>
          <w:color w:val="4A6B25"/>
          <w:sz w:val="20"/>
        </w:rPr>
        <w:t xml:space="preserve">3. </w:t>
      </w:r>
      <w:r>
        <w:rPr>
          <w:rFonts w:ascii="Calibri" w:hAnsi="Calibri"/>
          <w:b w:val="0"/>
          <w:color w:val="3A4A28"/>
          <w:sz w:val="20"/>
        </w:rPr>
        <w:t>Fear-based leadership culture per employee reviews could drive talent attrition in a competitive biotech hiring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poses minimal disruption risk to Halozyme's core business—the ENHANZE platform is protected by biological patents on rHuPH20 enzyme technology, and subcutaneous drug delivery involves complex biochemistry that AI cannot replicate or replace [3]. AI-driven drug discovery could modestly accelerate partner pipelines (benefiting Halozyme's royalty streams) or potentially enable competitors to find alternative delivery mechanisms, but the switching costs and regulatory approval timelines for existing SC formulations create a durable moat. The primary AI risk is indirect—if AI accelerates development of oral biologics or alternative delivery routes, the value proposition of subcutaneous delivery could erode over the very long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Halozyme Full Year 2025 Results and 2026 Financial Guidance, PR Newswire, February-March 2026</w:t>
      </w:r>
    </w:p>
    <w:p>
      <w:pPr>
        <w:spacing w:before="20" w:after="20"/>
        <w:ind w:left="170"/>
      </w:pPr>
      <w:r>
        <w:rPr>
          <w:rFonts w:ascii="Calibri" w:hAnsi="Calibri"/>
          <w:b/>
          <w:color w:val="4A6B25"/>
          <w:sz w:val="15"/>
        </w:rPr>
        <w:t xml:space="preserve">2. </w:t>
      </w:r>
      <w:r>
        <w:rPr>
          <w:rFonts w:ascii="Calibri" w:hAnsi="Calibri"/>
          <w:b w:val="0"/>
          <w:color w:val="3A4A28"/>
          <w:sz w:val="17"/>
        </w:rPr>
        <w:t>Halozyme Glassdoor Reviews and Leadership Analysis,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Halozyme ESG Report and Sustainalytics Rating,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HALO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