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HAL</w:t>
      </w:r>
      <w:r>
        <w:rPr>
          <w:rFonts w:ascii="Calibri" w:hAnsi="Calibri"/>
          <w:b/>
          <w:color w:val="1A2010"/>
          <w:sz w:val="40"/>
        </w:rPr>
        <w:t xml:space="preserve">  Halliburton Company</w:t>
      </w:r>
    </w:p>
    <w:p>
      <w:pPr>
        <w:spacing w:after="120"/>
      </w:pPr>
      <w:r>
        <w:rPr>
          <w:rFonts w:ascii="Calibri" w:hAnsi="Calibri"/>
          <w:b/>
          <w:color w:val="6E8450"/>
          <w:sz w:val="18"/>
        </w:rPr>
        <w:t>DIVIDEND SLEEVE · 2026-03-24 · Inspire: 38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Oil &amp; Gas Equipment &amp; Services · NYSE · United States</w:t>
      </w:r>
    </w:p>
    <w:p>
      <w:pPr>
        <w:spacing w:after="80"/>
      </w:pPr>
      <w:r>
        <w:rPr>
          <w:rFonts w:ascii="Calibri" w:hAnsi="Calibri"/>
          <w:b w:val="0"/>
          <w:color w:val="3A4A28"/>
          <w:sz w:val="20"/>
        </w:rPr>
        <w:t>Halliburton is North America's largest oilfield services company by market share, providing technology products and services to the upstream oil and gas industry worldwide. The company operates through two segments: Completion and Production (hydraulic fracturing, completion tools, and production enhancement) and Drilling and Evaluation (drilling, formation evaluation, and software). FY2025 revenue was $22.18B, down 3.3%, with Q4 2025 revenue of $5.7B, beating estimates, and management guiding for approximately $100M quarterly savings from operational restructuring.</w:t>
      </w:r>
    </w:p>
    <w:p>
      <w:r>
        <w:rPr>
          <w:rFonts w:ascii="Calibri" w:hAnsi="Calibri"/>
          <w:b/>
          <w:color w:val="6E8450"/>
          <w:sz w:val="18"/>
        </w:rPr>
        <w:t>46,000 Employees · https://www.halliburton.com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Halliburton earns 1/3 on Innovation Track Record: the company has launched an iEnergy cloud platform and Zeus electric fracturing system, meaningful technical innovations in the completion services space, though these are evolutionary rather than transformative business model changes [1]. AI Deployment scores 1/2: Halliburton has deployed AI-enhanced drilling optimization tools and predictive maintenance systems with specific operational efficiency claims, but no specific dollar savings quantified in recent public materials [2]. Market Share scores 2/2: Halliburton holds the #1 position in North American hydraulic fracturing with commanding market share in a category that comprises ~50% of its revenue [1]. Pipeline scores 1/2: iCruise and Zeus platform next generations are in development, but without specific launch dates and revenue visibility. R&amp;D scores 1/1: oilfield services companies invest above industry average in technical R&amp;D. Total: 1+1+2+1+1 = 6, scored 5 reflecting global softness.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Halliburton's stated purpose — helping customers maximize asset value across the lifecycle of every reservoir — is clear and operationally specific but not transformative [2]. Mission floor scores 2/4. Community impact scores 1/2: the company has significant community development programs in oilfield communities globally, particularly in the Middle East, Africa, and Latin America, but no distinctive stand-out charitable programs. Employee retention scores 1/2: with 46,000 employees in a specialized technical field, Halliburton benefits from above-average retention for engineering and technical roles, with competitive compensation and global career mobility. Insider buying scores 0/2: no evidence of meaningful recent insider buying; CEO Jeff Miller has been gradually reducing equity exposure [1]. Total: 2+1+1+0 =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HAL is a dividend stock. D/E: estimated ~100-120% from long-term debt; use 110%: (300-110)/(300-70)=0.826; ROE: estimated 30%+ (capital-light services company): 1.0; Rev growth YoY -3.3% FY2025: (-3.3-(-20))/(10-(-20))=0.557; Rev 5yr CAGR ~8% (post-COVID recovery): (8-(-5))/(10-(-5))=0.867; Fwd PE ~11 (at $28 stock price and ~$2.50 EPS): 1.0; Profit margin: adjusted EBITDA ~20%; GAAP net margin estimated ~8%: (8-0)/(20-0)=0.40; Payout ratio ~30%: 1.0 ×1; Consecutive years paid ~16: 1.0 ×2; Consecutive years growth ~8: (8-0)/(10-0)=0.8 ×1; 5yr div growth CAGR ~5%: (5-0)/(6-0)=0.833 ×2. Weighted sum: D/E(1×0.826)+ROE(1×1.0)+RevYoY(1×0.557)+Rev5yr(1×0.867)+FwdPE(1×1.0)+Margin(1×0.40)+Payout(1×1.0)+ConsecPaid(2×1.0)+ConsecGrowth(1×0.8)+DivCAGR(2×0.833)=0.826+1.0+0.557+0.867+1.0+0.40+1.0+2.0+0.8+1.666=10.116/12=0.843 → score 8. Conservative to 6 given YoY revenue decline and 2026 capex reduction signal.</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Halliburton has operated as the world's leading completion services company for decades, demonstrating long-term purpose in advancing oilfield technology. The current restructuring and capex reduction reflect pragmatic adaptation to market conditions rather than loss of purpose. CEO Jeff Miller has led through multiple commodity cycles with consistent messaging about technology leadership.</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Halliburton's long-standing purpose — maximizing reservoir asset value through technology innovation in drilling and completion — is validated by decades of consistent execution and patent leadership in oilfield services [1]. Scores 2/3: a genuine cause consistently executed, but not a transformative societal vision in Sinek's highest sense.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Halliburton's 46,000 employees in specialized technical and operational roles suggest stable organizational culture; the company is known for internal career development and technical training [2]. The 2026 restructuring ($100M quarterly savings) introduces some uncertainty. Scores 1/2.</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Halliburton benchmarks itself against SLB (Schlumberger) and Baker Hughes, and has consistently used competitive dynamics to drive technological advancement in hydraulic fracturing and drilling optimization [1]. Evidence of learning from rivals to improve. Scores 1/1.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Halliburton has evolved its technology portfolio through international expansion, digital tools, and the iEnergy platform — incremental adaptation rather than transformative pivot [1]. The 2025-2026 capex restructuring is defensive flexibility. Scores 1/2.</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willingness to restructure operations and reduce capex by 30% — signaling confidence in technology-led efficiency rather than volume-led growth — reflects strategic discipline [1]. One clear instance of choosing optimization over expansion. Scores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Halliburton trades at a forward P/E of approximately 9.5× with a 2.76% dividend yield — significant value relative to peers given its #1 position in North American hydraulic fracturing, a $5.7B Q4 2025 revenue beat, and $100M quarterly savings target from ongoing restructuring [1]. The company committed to returning &gt;50% of annual free cash flow to shareholders. When the oilfield services cycle recovers from its current softness, Halliburton's operating leverage should drive significant EPS expansion from the current restructured cost base.</w:t>
      </w:r>
    </w:p>
    <w:p>
      <w:pPr>
        <w:spacing w:after="120"/>
      </w:pPr>
      <w:r>
        <w:rPr>
          <w:rFonts w:ascii="Calibri" w:hAnsi="Calibri"/>
          <w:b w:val="0"/>
          <w:color w:val="3A4A28"/>
          <w:sz w:val="20"/>
        </w:rPr>
        <w:t>The bear case is the oilfield services cycle: FY2025 revenue declined 3.3% as North American land activity softened and international growth decelerated [1]. CEO Miller noted the market would be 'softer than previously expected over the short to medium term.' A sustained oil price decline below $50/barrel would materially reduce upstream spending budgets, directly impacting Halliburton's completion services revenue. The 30% capex reduction to ~$1B in 2026 signals management itself expects a softer environment.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$100M quarterly savings realization from restructuring — would significantly improve margins when revenue recovers, demonstrating operating leverage</w:t>
      </w:r>
    </w:p>
    <w:p>
      <w:pPr>
        <w:spacing w:before="40" w:after="40"/>
        <w:ind w:left="283"/>
      </w:pPr>
      <w:r>
        <w:rPr>
          <w:rFonts w:ascii="Calibri" w:hAnsi="Calibri"/>
          <w:b/>
          <w:color w:val="4A6B25"/>
          <w:sz w:val="20"/>
        </w:rPr>
        <w:t xml:space="preserve">2. </w:t>
      </w:r>
      <w:r>
        <w:rPr>
          <w:rFonts w:ascii="Calibri" w:hAnsi="Calibri"/>
          <w:b w:val="0"/>
          <w:color w:val="3A4A28"/>
          <w:sz w:val="20"/>
        </w:rPr>
        <w:t>International oilfield spending recovery: Middle East and Asia-Pacific activity rebound could offset North American softness and drive consolidated revenue growth</w:t>
      </w:r>
    </w:p>
    <w:p>
      <w:pPr>
        <w:spacing w:before="40" w:after="40"/>
        <w:ind w:left="283"/>
      </w:pPr>
      <w:r>
        <w:rPr>
          <w:rFonts w:ascii="Calibri" w:hAnsi="Calibri"/>
          <w:b/>
          <w:color w:val="4A6B25"/>
          <w:sz w:val="20"/>
        </w:rPr>
        <w:t xml:space="preserve">3. </w:t>
      </w:r>
      <w:r>
        <w:rPr>
          <w:rFonts w:ascii="Calibri" w:hAnsi="Calibri"/>
          <w:b w:val="0"/>
          <w:color w:val="3A4A28"/>
          <w:sz w:val="20"/>
        </w:rPr>
        <w:t>Oil price recovery above $70 WTI — would trigger an increase in E&amp;P capital budgets and drive completion services demand globally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Oilfield services market 'softer than expected over short to medium term' per CEO Miller — any further global E&amp;P spending cuts would reduce revenue and EBITDA below guidance</w:t>
      </w:r>
    </w:p>
    <w:p>
      <w:pPr>
        <w:spacing w:before="40" w:after="40"/>
        <w:ind w:left="283"/>
      </w:pPr>
      <w:r>
        <w:rPr>
          <w:rFonts w:ascii="Calibri" w:hAnsi="Calibri"/>
          <w:b/>
          <w:color w:val="4A6B25"/>
          <w:sz w:val="20"/>
        </w:rPr>
        <w:t xml:space="preserve">2. </w:t>
      </w:r>
      <w:r>
        <w:rPr>
          <w:rFonts w:ascii="Calibri" w:hAnsi="Calibri"/>
          <w:b w:val="0"/>
          <w:color w:val="3A4A28"/>
          <w:sz w:val="20"/>
        </w:rPr>
        <w:t>North American land rig count at multi-year lows, limiting the highest-margin fracturing services segment that represents ~50% of revenue</w:t>
      </w:r>
    </w:p>
    <w:p>
      <w:pPr>
        <w:spacing w:before="40" w:after="40"/>
        <w:ind w:left="283"/>
      </w:pPr>
      <w:r>
        <w:rPr>
          <w:rFonts w:ascii="Calibri" w:hAnsi="Calibri"/>
          <w:b/>
          <w:color w:val="4A6B25"/>
          <w:sz w:val="20"/>
        </w:rPr>
        <w:t xml:space="preserve">3. </w:t>
      </w:r>
      <w:r>
        <w:rPr>
          <w:rFonts w:ascii="Calibri" w:hAnsi="Calibri"/>
          <w:b w:val="0"/>
          <w:color w:val="3A4A28"/>
          <w:sz w:val="20"/>
        </w:rPr>
        <w:t>Energy transition acceleration: a faster-than-expected decline in fossil fuel investment would create long-term structural headwinds for oilfield services companies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Halliburton's core business — hydraulic fracturing, drilling services, and reservoir evaluation for the physical upstream oil and gas industry — is structurally immune to AI substitution [1]. No AI model can physically drill a well, fracture rock, or manage wellsite operations. AI enhances Halliburton's own tools (optimization algorithms, predictive maintenance) and may actually increase demand for premium services. Analysts do not flag AI displacement risk for oilfield services companies. Earns 8/9 on AI Risk Protection (immune physical operations) and 0/1 on AI Opportunity (AI tools deployed but no standalone AI revenue). Total: 8.</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Halliburton Q4 2025 Earnings Release, halliburton.com, January 2026</w:t>
      </w:r>
    </w:p>
    <w:p>
      <w:pPr>
        <w:spacing w:before="20" w:after="20"/>
        <w:ind w:left="170"/>
      </w:pPr>
      <w:r>
        <w:rPr>
          <w:rFonts w:ascii="Calibri" w:hAnsi="Calibri"/>
          <w:b/>
          <w:color w:val="4A6B25"/>
          <w:sz w:val="15"/>
        </w:rPr>
        <w:t xml:space="preserve">2. </w:t>
      </w:r>
      <w:r>
        <w:rPr>
          <w:rFonts w:ascii="Calibri" w:hAnsi="Calibri"/>
          <w:b w:val="0"/>
          <w:color w:val="3A4A28"/>
          <w:sz w:val="17"/>
        </w:rPr>
        <w:t>Halliburton Q3 2025 Earnings Press Release, halliburton.com, October 2025</w:t>
      </w:r>
    </w:p>
    <w:p>
      <w:pPr>
        <w:spacing w:before="20" w:after="20"/>
        <w:ind w:left="170"/>
      </w:pPr>
      <w:r>
        <w:rPr>
          <w:rFonts w:ascii="Calibri" w:hAnsi="Calibri"/>
          <w:b/>
          <w:color w:val="4A6B25"/>
          <w:sz w:val="15"/>
        </w:rPr>
        <w:t xml:space="preserve">3. </w:t>
      </w:r>
      <w:r>
        <w:rPr>
          <w:rFonts w:ascii="Calibri" w:hAnsi="Calibri"/>
          <w:b w:val="0"/>
          <w:color w:val="3A4A28"/>
          <w:sz w:val="17"/>
        </w:rPr>
        <w:t>MacroTrends, 'Halliburton Revenue 2012-2025', accessed March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'Halliburton (HAL) Financial Ratios', accessed March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