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HBAN</w:t>
      </w:r>
      <w:r>
        <w:rPr>
          <w:rFonts w:ascii="Calibri" w:hAnsi="Calibri"/>
          <w:b/>
          <w:color w:val="1A2010"/>
          <w:sz w:val="40"/>
        </w:rPr>
        <w:t xml:space="preserve">  Huntington Bancshares Incorporated</w:t>
      </w:r>
    </w:p>
    <w:p>
      <w:pPr>
        <w:spacing w:after="120"/>
      </w:pPr>
      <w:r>
        <w:rPr>
          <w:rFonts w:ascii="Calibri" w:hAnsi="Calibri"/>
          <w:b/>
          <w:color w:val="6E8450"/>
          <w:sz w:val="18"/>
        </w:rPr>
        <w:t>DIVIDEND SLEEVE · 2026-03-23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Huntington Bancshares is a $225 billion regional bank holding company operating primarily in the Midwest. The company provides commercial, consumer, and mortgage banking services through approximately 1,000 branches, recently expanding through the acquisition of Cadence Bank and Veritex.</w:t>
      </w:r>
    </w:p>
    <w:p>
      <w:r>
        <w:rPr>
          <w:rFonts w:ascii="Calibri" w:hAnsi="Calibri"/>
          <w:b/>
          <w:color w:val="6E8450"/>
          <w:sz w:val="18"/>
        </w:rPr>
        <w:t>20,424 Employees · https://www.huntington.com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Huntington's growth strategy has been primarily acquisition-driven (Cadence, Veritex) rather than product innovation, expanding from $80B to $225B in assets through M&amp;A [1]. AI Deployment (1/2): CFO Wasserman calls AI 'a tremendous priority' with specific use cases in healthcare billing acceleration, but deployment remains early-stage without quantified ROI [2]. Market Share (1/2): Strong Midwest regional presence but not a category leader nationally; acquisitions expand geographic footprint rather than market share leadership. Pipeline (0/2): No transformative products announced; growth pipeline is integration synergies ($435M cost synergies from Cadence/Veritex) [1]. R&amp;D Intensity (1/1): Corporate Ventures team investing in early-stage technology companies and partnering with fintechs demonstrates above-average innovation commitment for a regional bank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Huntington's mission focuses on being a purpose-driven regional bank serving communities, which is clear but not distinctive among regional banking peers [2]. Community Impact (1/2): Significant Midwest community banking presence with 20,000+ employees and community lending programs, though no standout charitable initiatives identified. Employee Retention (1/2): DDI leadership development program and culture 'defined by listening and valuing opinions' suggest above-average employee investment; Steinour's 17-year tenure provides stability [2]. Insider Buying (1/2): Management increased 2026 buyback outlook to $550M and targets 2-3% share count reduction, indicating confidence in the stock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Huntington delivered 11% revenue growth and 16% EPS growth in 2025 with 2026 guidance of 10-13% NII growth, 13-16% fee revenue growth, and mid-to-high teens organic EPS growth [1]. P/E of 10.9x and forward P/E of 7.9x are attractive; ROE of 10.1% is modest but improving toward 18-19% ROTCE target by 2027 [1][4]. Profit margin of 28.7% is strong. Dividend yield of 4.11% with 44.6% payout ratio provides solid income. D/E data is unavailable for banks. Liquidity floor cleared: 33.1M avg volume x $15.09 = $500M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Huntington under CEO Steinour demonstrates steady infinite game qualities through 17 years of consistent leadership, disciplined risk management, and community-oriented banking. The company's acquisition strategy expands capabilities rather than pursuing growth for growth's sake, though the recent M&amp;A pace raises questions about integration discipline.</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Huntington's purpose as a Midwest community-oriented bank that serves customers through accessible financial products is genuine but common among regional banks [2]. Steinour's 17-year tenure and consistent strategic planning (three-year rolling plans since his arrival) demonstrate purposeful leadership, though the cause isn't transformative.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Huntington invested in DDI leadership development to build mid-level leaders, fostering a culture 'defined by listening and valuing opinions' [2]. New CRO Senthil Kumar was hired to strengthen risk culture during expansion. However, integrating 20,000+ employees across three merged organizations creates cultural assimilation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Huntington acknowledges fintech disruption and competitive pressure from larger banks, using Corporate Ventures to invest in and learn from innovative startups [2]. This suggests a healthy competitive mindset focused on adaptation rather than simply trying to out-size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Cadence and Veritex acquisitions represent significant geographic and capability expansion from a Midwest community bank to a national footprint [1]. While these are incremental M&amp;A rather than transformative pivots, the pace and scale of integration show willingness to evolve.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Steinour took over Huntington during the 2009 financial crisis and built it into a $225B institution through disciplined growth [2]. The $435M in targeted cost synergies and expectation of 500-600 bps of operating leverage in 2026 show willingness to make hard integration decisions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Huntington is guiding for exceptional 2026 growth — 10-13% NII growth, 13-16% fee growth, mid-to-high teens EPS growth — driven by Cadence/Veritex integration synergies ($435M at full run rate) and organic momentum [1]. At 7.9x forward earnings with a 4.11% dividend yield and $550M in planned buybacks, the stock offers compelling value for an income-generating bank expanding into faster-growing southern markets. The 2027 EPS target of $1.90-$1.93 implies 37% upside from current earnings levels.</w:t>
      </w:r>
    </w:p>
    <w:p>
      <w:pPr>
        <w:spacing w:after="120"/>
      </w:pPr>
      <w:r>
        <w:rPr>
          <w:rFonts w:ascii="Calibri" w:hAnsi="Calibri"/>
          <w:b w:val="0"/>
          <w:color w:val="3A4A28"/>
          <w:sz w:val="20"/>
        </w:rPr>
        <w:t>The bear case centers on integration execution risk from simultaneous Cadence and Veritex digestion, which adds significant operational complexity to a bank that has historically been a steady Midwest operator [1]. The stock has fallen 22% from its $19.46 52-week high amid broader banking sector weakness. EPS declined 10.9% YoY in the latest quarter despite revenue growth, suggesting integration costs are pressuring near-term profitability. Credit quality deterioration in a potential recession could compound integration challenges, and the 44.6% payout ratio limits dividend growth flexibility during the integration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run-rate of $435M Cadence/Veritex cost synergies expected to flow through by 2027, with early benefits visible in H2 2026 [1]</w:t>
      </w:r>
    </w:p>
    <w:p>
      <w:pPr>
        <w:spacing w:before="40" w:after="40"/>
        <w:ind w:left="283"/>
      </w:pPr>
      <w:r>
        <w:rPr>
          <w:rFonts w:ascii="Calibri" w:hAnsi="Calibri"/>
          <w:b/>
          <w:color w:val="4A6B25"/>
          <w:sz w:val="20"/>
        </w:rPr>
        <w:t xml:space="preserve">2. </w:t>
      </w:r>
      <w:r>
        <w:rPr>
          <w:rFonts w:ascii="Calibri" w:hAnsi="Calibri"/>
          <w:b w:val="0"/>
          <w:color w:val="3A4A28"/>
          <w:sz w:val="20"/>
        </w:rPr>
        <w:t>$550M buyback program in 2026 with 2-3% share count reduction provides direct EPS accretion [1]</w:t>
      </w:r>
    </w:p>
    <w:p>
      <w:pPr>
        <w:spacing w:before="40" w:after="40"/>
        <w:ind w:left="283"/>
      </w:pPr>
      <w:r>
        <w:rPr>
          <w:rFonts w:ascii="Calibri" w:hAnsi="Calibri"/>
          <w:b/>
          <w:color w:val="4A6B25"/>
          <w:sz w:val="20"/>
        </w:rPr>
        <w:t xml:space="preserve">3. </w:t>
      </w:r>
      <w:r>
        <w:rPr>
          <w:rFonts w:ascii="Calibri" w:hAnsi="Calibri"/>
          <w:b w:val="0"/>
          <w:color w:val="3A4A28"/>
          <w:sz w:val="20"/>
        </w:rPr>
        <w:t>Efficiency ratio targeted below 55% by Q4 2026 exit rate, implying significant margin expansion from current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Simultaneous integration of Cadence and Veritex creates operational and cultural execution risk at unprecedented scale for Huntington [1]</w:t>
      </w:r>
    </w:p>
    <w:p>
      <w:pPr>
        <w:spacing w:before="40" w:after="40"/>
        <w:ind w:left="283"/>
      </w:pPr>
      <w:r>
        <w:rPr>
          <w:rFonts w:ascii="Calibri" w:hAnsi="Calibri"/>
          <w:b/>
          <w:color w:val="4A6B25"/>
          <w:sz w:val="20"/>
        </w:rPr>
        <w:t xml:space="preserve">2. </w:t>
      </w:r>
      <w:r>
        <w:rPr>
          <w:rFonts w:ascii="Calibri" w:hAnsi="Calibri"/>
          <w:b w:val="0"/>
          <w:color w:val="3A4A28"/>
          <w:sz w:val="20"/>
        </w:rPr>
        <w:t>Credit quality deterioration in commercial real estate or consumer lending could accelerate in an economic downturn [2]</w:t>
      </w:r>
    </w:p>
    <w:p>
      <w:pPr>
        <w:spacing w:before="40" w:after="40"/>
        <w:ind w:left="283"/>
      </w:pPr>
      <w:r>
        <w:rPr>
          <w:rFonts w:ascii="Calibri" w:hAnsi="Calibri"/>
          <w:b/>
          <w:color w:val="4A6B25"/>
          <w:sz w:val="20"/>
        </w:rPr>
        <w:t xml:space="preserve">3. </w:t>
      </w:r>
      <w:r>
        <w:rPr>
          <w:rFonts w:ascii="Calibri" w:hAnsi="Calibri"/>
          <w:b w:val="0"/>
          <w:color w:val="3A4A28"/>
          <w:sz w:val="20"/>
        </w:rPr>
        <w:t>Stock has fallen 22% from 52-week high; further regional bank sector weakness driven by interest rate uncertainty could pressure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Regional banking is partially protected from AI disruption by regulatory requirements, relationship-driven commercial lending, and branch-based consumer banking [2]. However, fintech competitors and AI-driven loan underwriting could pressure margins over time. Huntington's healthcare AI billing use case shows early adaptation. AI Opportunity (0/1): No meaningful AI revenue generation identified; AI is being deployed internally for efficiency rather than as a revenue-generating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Huntington Bancshares 2026 Strategic Update and RBC Conference Presentation, March 2026</w:t>
      </w:r>
    </w:p>
    <w:p>
      <w:pPr>
        <w:spacing w:before="20" w:after="20"/>
        <w:ind w:left="170"/>
      </w:pPr>
      <w:r>
        <w:rPr>
          <w:rFonts w:ascii="Calibri" w:hAnsi="Calibri"/>
          <w:b/>
          <w:color w:val="4A6B25"/>
          <w:sz w:val="15"/>
        </w:rPr>
        <w:t xml:space="preserve">2. </w:t>
      </w:r>
      <w:r>
        <w:rPr>
          <w:rFonts w:ascii="Calibri" w:hAnsi="Calibri"/>
          <w:b w:val="0"/>
          <w:color w:val="3A4A28"/>
          <w:sz w:val="17"/>
        </w:rPr>
        <w:t>Huntington Leadership Profile, American Banker Interview, and DDI Case Study,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HBAN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