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HCWB</w:t>
      </w:r>
      <w:r>
        <w:rPr>
          <w:rFonts w:ascii="Calibri" w:hAnsi="Calibri"/>
          <w:b/>
          <w:color w:val="1A2010"/>
          <w:sz w:val="40"/>
        </w:rPr>
        <w:t xml:space="preserve">  HCW Biologics Inc.</w:t>
      </w:r>
    </w:p>
    <w:p>
      <w:pPr>
        <w:spacing w:after="120"/>
      </w:pPr>
      <w:r>
        <w:rPr>
          <w:rFonts w:ascii="Calibri" w:hAnsi="Calibri"/>
          <w:b/>
          <w:color w:val="6E8450"/>
          <w:sz w:val="18"/>
        </w:rPr>
        <w:t>GROWTH SLEEVE · 2026-03-28 · Inspire: 23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HCW Biologics is a clinical-stage biopharmaceutical company focused on discovering and developing novel immunotherapies to disrupt the link between chronic, low-grade inflammation and age-related diseases including cancer, cardiovascular disease, diabetes, and neurodegenerative disorders. The company operates two drug discovery platforms generating multi-functional fusion molecules with immunotherapeutic properties.</w:t>
      </w:r>
    </w:p>
    <w:p>
      <w:r>
        <w:rPr>
          <w:rFonts w:ascii="Calibri" w:hAnsi="Calibri"/>
          <w:b/>
          <w:color w:val="6E8450"/>
          <w:sz w:val="18"/>
        </w:rPr>
        <w:t>36 Employees · https://www.hcwbiologics.com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HCW Biologics has not launched any commercial products since its founding in 2018; the company remains pre-revenue and clinical-stage with no market-ready therapies [1]. AI Deployment (0/2): No AI products or AI-driven cost savings reported; the company's focus is on protein engineering and immunotherapy platforms, not AI deployment [2]. Market Share (0/2): As a micro-cap ($2.1M market cap) clinical-stage biotech with no commercial products, HCWB has zero market share in any therapeutic category [1]. Pipeline (1/2): The company has HCW9218 (immunotherapy for chronic inflammation) in its pipeline and formed the Trimmune joint venture with WY Biotech for cell and gene therapy manufacturing, but timelines are vague and no Phase 3 trials are underway [2]. R&amp;D Intensity (0/1): While R&amp;D spending exists, the company's minimal revenue base and tiny scale make R&amp;D intensity comparisons meaningless; total spending is a fraction of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HCWB's purpose — disrupting the link between chronic inflammation and age-related disease to 'lengthen healthspan' — is clear and identifies a specific scientific thesis, but it reads more as a research description than an inspiring cause that differentiates the company from hundreds of other clinical-stage biotechs [2]. Community Impact (0/2): No evidence of charitable programs, community investment, or philanthropic initiatives; the company has 36 employees and is focused entirely on survival and pipeline development [1]. Employee Retention (1/2): The management team averages 6.5 years of tenure, which is reasonable for a small startup; founder-CEO Dr. Hing C. Wong has led since inception, providing leadership continuity [2]. Insider Buying (0/2): CEO Wong owns 8.72% of shares but no evidence of meaningful open-market insider buying; recent financing activity ($1.5M offering, warrant inducements) suggests dilutive capital raises rather than insider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HCWB's financial profile is extremely distressed. TTM revenue of $422K collapsed 96.3% YoY with net losses of $30M in 2024, widening 20% from 2023 [1]. ROE is -344%, reflecting deeply negative stockholders' equity that triggered Nasdaq delisting warnings in August 2025 — compliance was only regained in February 2026 through warrant inducements and legal fee settlements [1]. Net margin of -2,856% on near-zero revenue demonstrates a pure cash-burn operation. The company had to raise $3.8M in emergency financing and settle $7.4M in legal payables to restore minimum listing equity [1]. Market cap of $2.1M makes this a micro-cap with extreme dilution risk. Forward P/E is negative (unprofitable). All available infrastructure metrics score at or below their floors, yielding a 0/10. Liquidity floor passes: $3.3M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HCW Biologics is playing a survival game, not an infinite game. The company nearly lost its Nasdaq listing, relies on emergency financing rounds, and faces existential cash-burn challenges that force short-term financial maneuvering over long-term purpose-driven strategy.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scientific thesis of disrupting inflammation-driven aging has genuine purpose, but it reads as a research hypothesis rather than a Just Cause that inspires sacrifice and endurance [2]. The cause has not been tested through crisis in a meaningful way — when the company faced delisting, the response was financial engineering (warrant inducements, legal settlements) rather than mission-driven resilience.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36-person team has reasonable stability with 6.5 years average management tenure, and founder-CEO Wong provides leadership continuity [2]. However, for a company this small, team dynamics are difficult to evaluate externally, and the Nasdaq compliance crisis likely created significant internal stress and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HCWB's public communications focus on its own platform technology without acknowledging rivals' strengths or describing how competitive dynamics improve their approach [2]. The company operates in isolation typical of micro-cap biotechs.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Trimmune joint venture with WY Biotech represents a modest strategic pivot into cell and gene therapy manufacturing [2]. However, this appears driven by financial necessity (creating new revenue streams to survive) rather than a purposeful reinvention in service of a Just Cause. The company is too small and too early to have demonstrated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long-term investment decisions. The company's recent history is dominated by survival tactics — emergency financing, Nasdaq compliance remediation, and dilutive offerings [1]. When facing delisting, leadership chose financial engineering over any visible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HCW Biologics' only investment case is speculative pipeline optionality. The company's immunotherapy platforms targeting chronic inflammation and aging-related disease represent a scientifically interesting thesis, and the Trimmune joint venture with WY Biotech opens a cell and gene therapy manufacturing angle [2]. Founder-CEO Dr. Wong's 2021 BioFlorida Entrepreneur of the Year recognition and 8.72% ownership stake demonstrate personal commitment to the vision. If HCW9218 or other pipeline candidates advance to pivotal trials, the $2.1M market cap could re-rate dramatically from current levels.</w:t>
      </w:r>
    </w:p>
    <w:p>
      <w:pPr>
        <w:spacing w:after="120"/>
      </w:pPr>
      <w:r>
        <w:rPr>
          <w:rFonts w:ascii="Calibri" w:hAnsi="Calibri"/>
          <w:b w:val="0"/>
          <w:color w:val="3A4A28"/>
          <w:sz w:val="20"/>
        </w:rPr>
        <w:t>The bear case is overwhelming. HCWB is a $2.1M market cap company that nearly lost its Nasdaq listing in 2025, generates only $422K in TTM revenue (down 96.3% YoY), burns $30M annually in net losses, and has deeply negative stockholders' equity [1]. The company survived delisting only through emergency warrant inducements ($3.8M) and legal fee settlements ($5.4M equity boost). With 36 employees and no commercial products, HCWB competes for capital against thousands of better-funded clinical-stage biotechs. The stock has declined 96.4% over the past year. Serial dilutive offerings at sub-$1 prices destroy shareholder value with no clear path to profitability. The pipeline lacks any Phase 3 candidates, meaning years of additional cash burn before any potential commercial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Trimmune joint venture with WY Biotech advancing cell and gene therapy manufacturing capabilities, with first-round financing closed in early 2026 [2]</w:t>
      </w:r>
    </w:p>
    <w:p>
      <w:pPr>
        <w:spacing w:before="40" w:after="40"/>
        <w:ind w:left="283"/>
      </w:pPr>
      <w:r>
        <w:rPr>
          <w:rFonts w:ascii="Calibri" w:hAnsi="Calibri"/>
          <w:b/>
          <w:color w:val="4A6B25"/>
          <w:sz w:val="20"/>
        </w:rPr>
        <w:t xml:space="preserve">2. </w:t>
      </w:r>
      <w:r>
        <w:rPr>
          <w:rFonts w:ascii="Calibri" w:hAnsi="Calibri"/>
          <w:b w:val="0"/>
          <w:color w:val="3A4A28"/>
          <w:sz w:val="20"/>
        </w:rPr>
        <w:t>HCW9218 clinical data readouts that could validate the inflammation-aging disease thesis and attract partnership interest [2]</w:t>
      </w:r>
    </w:p>
    <w:p>
      <w:pPr>
        <w:spacing w:before="40" w:after="40"/>
        <w:ind w:left="283"/>
      </w:pPr>
      <w:r>
        <w:rPr>
          <w:rFonts w:ascii="Calibri" w:hAnsi="Calibri"/>
          <w:b/>
          <w:color w:val="4A6B25"/>
          <w:sz w:val="20"/>
        </w:rPr>
        <w:t xml:space="preserve">3. </w:t>
      </w:r>
      <w:r>
        <w:rPr>
          <w:rFonts w:ascii="Calibri" w:hAnsi="Calibri"/>
          <w:b w:val="0"/>
          <w:color w:val="3A4A28"/>
          <w:sz w:val="20"/>
        </w:rPr>
        <w:t>Nasdaq compliance regained in February 2026, providing continued listing visibility and access to public capital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cash-burn risk — $30M annual losses on $422K revenue with $2.1M market cap means continuous dilutive financing is required to survive, destroying per-share value [1]</w:t>
      </w:r>
    </w:p>
    <w:p>
      <w:pPr>
        <w:spacing w:before="40" w:after="40"/>
        <w:ind w:left="283"/>
      </w:pPr>
      <w:r>
        <w:rPr>
          <w:rFonts w:ascii="Calibri" w:hAnsi="Calibri"/>
          <w:b/>
          <w:color w:val="4A6B25"/>
          <w:sz w:val="20"/>
        </w:rPr>
        <w:t xml:space="preserve">2. </w:t>
      </w:r>
      <w:r>
        <w:rPr>
          <w:rFonts w:ascii="Calibri" w:hAnsi="Calibri"/>
          <w:b w:val="0"/>
          <w:color w:val="3A4A28"/>
          <w:sz w:val="20"/>
        </w:rPr>
        <w:t>No commercial products and no Phase 3 pipeline candidates — years of additional cash burn before any potential revenue, with high probability of clinical failure typical of early-stage biotechs [2]</w:t>
      </w:r>
    </w:p>
    <w:p>
      <w:pPr>
        <w:spacing w:before="40" w:after="40"/>
        <w:ind w:left="283"/>
      </w:pPr>
      <w:r>
        <w:rPr>
          <w:rFonts w:ascii="Calibri" w:hAnsi="Calibri"/>
          <w:b/>
          <w:color w:val="4A6B25"/>
          <w:sz w:val="20"/>
        </w:rPr>
        <w:t xml:space="preserve">3. </w:t>
      </w:r>
      <w:r>
        <w:rPr>
          <w:rFonts w:ascii="Calibri" w:hAnsi="Calibri"/>
          <w:b w:val="0"/>
          <w:color w:val="3A4A28"/>
          <w:sz w:val="20"/>
        </w:rPr>
        <w:t>Stock has declined 96.4% over the past year with serial dilutive offerings at sub-$1 prices; Nasdaq minimum equity compliance remains fragile and could be re-triggered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Clinical-stage drug development involves physical wet-lab experiments, animal studies, and human clinical trials that AI cannot replace [2]. FDA regulatory pathways (IND, Phase I-III trials, BLA approval) create multi-year barriers that AI software companies cannot circumvent. However, HCWB's protein engineering platforms could potentially be enhanced or partially replicated by AI-driven drug discovery platforms (e.g., Recursion, Insilico Medicine), creating moderate exposure in the discovery phase. The company's small scale means it lacks the proprietary clinical data moats of larger pharma. AI Opportunity (0/1): No AI-related products or revenue streams; the company does not deploy AI in its drug discovery or manufacturing processes.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23</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StockAnalysis, TipRanks — HCWB financial data, Nasdaq compliance, revenue, and market cap, accessed March 2026</w:t>
      </w:r>
    </w:p>
    <w:p>
      <w:pPr>
        <w:spacing w:before="20" w:after="20"/>
        <w:ind w:left="170"/>
      </w:pPr>
      <w:r>
        <w:rPr>
          <w:rFonts w:ascii="Calibri" w:hAnsi="Calibri"/>
          <w:b/>
          <w:color w:val="4A6B25"/>
          <w:sz w:val="15"/>
        </w:rPr>
        <w:t xml:space="preserve">2. </w:t>
      </w:r>
      <w:r>
        <w:rPr>
          <w:rFonts w:ascii="Calibri" w:hAnsi="Calibri"/>
          <w:b w:val="0"/>
          <w:color w:val="3A4A28"/>
          <w:sz w:val="17"/>
        </w:rPr>
        <w:t>HCW Biologics Investor Relations, GlobeNewsWire — Leadership, Trimmune JV, J.P. Morgan Week presentation, January 2025</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HCWB (HCW Biologics),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