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HD</w:t>
      </w:r>
      <w:r>
        <w:rPr>
          <w:rFonts w:ascii="Calibri" w:hAnsi="Calibri"/>
          <w:b/>
          <w:color w:val="1A2010"/>
          <w:sz w:val="40"/>
        </w:rPr>
        <w:t xml:space="preserve">  The Home Depot, Inc.</w:t>
      </w:r>
    </w:p>
    <w:p>
      <w:pPr>
        <w:spacing w:after="120"/>
      </w:pPr>
      <w:r>
        <w:rPr>
          <w:rFonts w:ascii="Calibri" w:hAnsi="Calibri"/>
          <w:b/>
          <w:color w:val="6E8450"/>
          <w:sz w:val="18"/>
        </w:rPr>
        <w:t>DIVIDEND SLEEVE · 2026-04-01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The Home Depot is the world's largest home improvement retailer, operating 2,359 stores and over 1,250 SRS Distribution locations across the U.S., Canada, and Mexico. The company sells building materials, home improvement products, lawn and garden products, and provides installation and tool rental services to DIY homeowners, DIFM customers, and professional contractors.</w:t>
      </w:r>
    </w:p>
    <w:p>
      <w:r>
        <w:rPr>
          <w:rFonts w:ascii="Calibri" w:hAnsi="Calibri"/>
          <w:b/>
          <w:color w:val="6E8450"/>
          <w:sz w:val="18"/>
        </w:rPr>
        <w:t>472,400 Employees · https://www.homedepot.com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$18.25B SRS Distribution acquisition in 2024 was transformative, adding 1,250+ pro specialty distribution locations and expanding into roofing, landscaping, and pool supply markets [1]. Online comp sales grew 11% in Q4 FY2025, and total revenue reached $164.7B [1]. AI Deployment (2/2): Home Depot has 175+ AI/ML projects in production, including Magic Apron GenAI for product review summaries and expert answers, AI-optimized delivery routing via Google and Microsoft partnerships, and contact center AI with human-in-the-loop design [2]. The company builds 80% of its software in-house. Market Share (2/2): Dominant #1 home improvement retailer globally with 2,359 stores, clear category leader with no close domestic competitor in scale [1]. Pipeline (1/2): 15 new stores planned for FY2026, SRS integration ongoing with mid-single-digit organic growth expected, and aggressive AI rollout under new CTO Franziska Bell (hired from Ford) [1][2]. R&amp;D Intensity (1/1): Massive technology investment with in-house development team, new CTO dedicated to enterprisewide agentic AI integration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Home Depot's 'inverted pyramid' philosophy — placing customers at the top and CEO at the bottom — has been the company's cultural DNA for 45+ years [2]. CEO Ted Decker, a 26-year company veteran, calls this culture Home Depot's primary competitive advantage. The purpose is specific, thoughtful, and clearly shapes strategic decisions. Community Impact (2/2): The Home Depot Foundation has contributed over $450M to veteran causes since 2011, with $82M granted in 2022 for veteran housing, skilled trades training, and disaster relief [3]. Employee Retention (1/2): 90% of store leaders began in hourly roles and many executives started in the aisles, demonstrating strong internal promotion culture [2]. However, 800 tech roles were cut at the Atlanta support center in 2025, and unionization efforts at a Philadelphia store suggest some workforce friction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Depot's financial profile is anchored by dominant market position and strong dividend history, offset by extremely high leverage from the SRS acquisition. Revenue of $164.7B (FY2025) with ROE of 145.5% (inflated by negative book value from buybacks and debt) and forward P/E of 20.2x are favorable [1][4]. D/E of 514.4% is very elevated due to the $18.25B SRS acquisition and aggressive share buybacks, scoring 0 on that metric. Profit margin of 8.6% is modest for retail but consistent. Dividend history is exceptional: ~39 consecutive years paid, ~15 consecutive years of growth, 2.83% yield, and ~10%+ 5-year dividend growth CAGR [4]. FY2026 guidance projects 2.5-4.5% sales growth and flat to 4% EPS growth [1]. Liquidity floor easily cleared: 4.3M avg volume x $329.56 = $1.42B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Home Depot exhibits strong infinite game characteristics through its 45-year inverted pyramid culture, internal promotion practices (90% of store leaders from hourly roles), and the bold SRS acquisition that positions the company for decades of pro market growth. The company's culture is its competitive moat, as CEO Decker emphasizes. Minor finite signals include the 800 tech layoffs and modest near-term guidance that prioritizes margin preservation.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Depot's 'inverted pyramid' — customers first, associates second, management last — has been the company's organizing principle for 45+ years and has survived multiple leadership transitions and economic cycles [2]. CEO Decker, with 26 years at the company, cites this culture as the primary competitive differentiator. It's genuine and validated by execution, though it describes an organizational philosophy more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Depot is a model for trusting teams: 90% of store leaders began in hourly roles, many executives started in the aisles, and the inverted pyramid explicitly places frontline associates above management [2]. CEO Decker's 26-year tenure and the company's consistent promotion-from-within culture create deep institutional trust. Leadership ratings on Comparably rank in the top 25% for companies with 10,000+ employees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Depot's competitive posture with Lowe's reflects a healthy infinite mindset — using competitive pressure to improve operations rather than obsessing over market share destruction [2]. The SRS acquisition expanded into complementary pro channels rather than attacking rivals directly, suggesting a focus on building capability rather than winning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$18.25B SRS Distribution acquisition represents meaningful strategic evolution, expanding from retail-focused home improvement into pro specialty distribution across roofing, landscaping, and pool supply [1]. This is a significant adjacent-market expansion that changes the company's growth trajectory. However, the core retail model has been fundamentally the same for 45+ years — evolution rather than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$18.25B SRS acquisition in 2024 was a bold long-term bet on the professional contractor market, the largest acquisition in Home Depot's history [1]. Maintaining the dividend increase streak through a challenging housing market (0.3% comp growth in FY2025) shows commitment to shareholders. However, the 800 tech layoffs and conservative FY2026 guidance (flat to 4% EPS growth) suggest some prioritization of near-term margin protection over aggressive investment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Home Depot is the world's dominant home improvement retailer with $164.7B in FY2025 revenue, 2,359 stores, and the transformative $18.25B SRS Distribution acquisition that adds 1,250+ pro specialty locations [1]. The company's 45-year inverted pyramid culture, 175+ AI/ML projects under a dedicated CTO, and exceptional dividend history (39 consecutive years paid, 2.83% yield, ~10% 5-year growth CAGR) make it a high-quality compounder [2][4]. At 20.2x forward P/E with guidance for 2.5-4.5% sales growth in FY2026, HD offers stable income with optionality on a housing market recovery. SRS is expected to grow organic sales mid-single digits and expand market share in the $50B+ pro specialty distribution market [1].</w:t>
      </w:r>
    </w:p>
    <w:p>
      <w:pPr>
        <w:spacing w:after="120"/>
      </w:pPr>
      <w:r>
        <w:rPr>
          <w:rFonts w:ascii="Calibri" w:hAnsi="Calibri"/>
          <w:b w:val="0"/>
          <w:color w:val="3A4A28"/>
          <w:sz w:val="20"/>
        </w:rPr>
        <w:t>The bear case centers on housing market weakness and acquisition integration risk. Comparable sales grew just 0.3% in FY2025 as housing affordability constraints and low existing home turnover suppressed renovation demand [1]. Roofing shipments declined ~28% in Q4, impacting SRS. D/E of 514% reflects the SRS debt load and aggressive buybacks, creating financial fragility if the housing downturn extends. Profit margin of 8.6% and FY2026 operating margin guidance of 12.4-12.6% are under pressure from integration costs and competitive pricing. The 800 tech layoffs signal cost-cutting rather than investment mode. A rising rate environment could further suppress housing activity, delaying the comp recovery that HD's valuation depends 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 existing home sales and renovation activity rebound as mortgage rates normalize, driving comp acceleration above the flat-to-2% FY2026 guidance [1]</w:t>
      </w:r>
    </w:p>
    <w:p>
      <w:pPr>
        <w:spacing w:before="40" w:after="40"/>
        <w:ind w:left="283"/>
      </w:pPr>
      <w:r>
        <w:rPr>
          <w:rFonts w:ascii="Calibri" w:hAnsi="Calibri"/>
          <w:b/>
          <w:color w:val="4A6B25"/>
          <w:sz w:val="20"/>
        </w:rPr>
        <w:t xml:space="preserve">2. </w:t>
      </w:r>
      <w:r>
        <w:rPr>
          <w:rFonts w:ascii="Calibri" w:hAnsi="Calibri"/>
          <w:b w:val="0"/>
          <w:color w:val="3A4A28"/>
          <w:sz w:val="20"/>
        </w:rPr>
        <w:t>SRS Distribution integration synergies — mid-single-digit organic growth with cross-selling opportunities across 1,250+ pro specialty locations expanding Home Depot's $50B+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 175+ AI/ML projects including Magic Apron GenAI and delivery route optimization driving margin improvement and enhanced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market weakness — low existing home turnover, elevated mortgage rates, and housing affordability constraints could suppress renovation demand and extend the flat comp environment beyond FY2026 [1]</w:t>
      </w:r>
    </w:p>
    <w:p>
      <w:pPr>
        <w:spacing w:before="40" w:after="40"/>
        <w:ind w:left="283"/>
      </w:pPr>
      <w:r>
        <w:rPr>
          <w:rFonts w:ascii="Calibri" w:hAnsi="Calibri"/>
          <w:b/>
          <w:color w:val="4A6B25"/>
          <w:sz w:val="20"/>
        </w:rPr>
        <w:t xml:space="preserve">2. </w:t>
      </w:r>
      <w:r>
        <w:rPr>
          <w:rFonts w:ascii="Calibri" w:hAnsi="Calibri"/>
          <w:b w:val="0"/>
          <w:color w:val="3A4A28"/>
          <w:sz w:val="20"/>
        </w:rPr>
        <w:t>SRS integration execution risk — integrating 1,250+ locations and $18.25B in acquisition debt (D/E 514%) creates financial fragility if pro market growth disappoints or synergies are slower than expected [1]</w:t>
      </w:r>
    </w:p>
    <w:p>
      <w:pPr>
        <w:spacing w:before="40" w:after="40"/>
        <w:ind w:left="283"/>
      </w:pPr>
      <w:r>
        <w:rPr>
          <w:rFonts w:ascii="Calibri" w:hAnsi="Calibri"/>
          <w:b/>
          <w:color w:val="4A6B25"/>
          <w:sz w:val="20"/>
        </w:rPr>
        <w:t xml:space="preserve">3. </w:t>
      </w:r>
      <w:r>
        <w:rPr>
          <w:rFonts w:ascii="Calibri" w:hAnsi="Calibri"/>
          <w:b w:val="0"/>
          <w:color w:val="3A4A28"/>
          <w:sz w:val="20"/>
        </w:rPr>
        <w:t>Labor relations pressure — unionization efforts at the Philadelphia store and broader retail labor cost inflation could compress margins and disrupt the inverted pyramid culture that CEO Decker identifies as Home Depot's competitive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Depot's core business is fundamentally physical — selling lumber, plumbing fixtures, tools, and building materials through 2,359 stores to homeowners and contractors who need tangible products for physical projects [1]. AI cannot replace the need for home improvement materials or the in-store experience for product selection and expert advice. The SRS Distribution business (roofing, landscaping, pool supply) adds further physical-world protection. AI may reduce some back-office and tech support roles (800 cuts in 2025), but core demand is tied to housing market activity, not information work [2][3]. AI Opportunity (1/1): Home Depot generates measurable value from 175+ AI/ML projects including Magic Apron GenAI, AI-optimized delivery routing, and contact center AI, with a dedicated CTO (Franziska Bell, ex-Ford) leading enterprisewide agentic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Home Depot Q4 FY2025 Earnings Release — $38.2B Q4 revenue, $164.7B full-year, FY2026 guidance of 2.5-4.5% sales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Home Depot CEO Fireside Chat, AI Corporate Blog, CIO Dive — Ted Decker leadership, 175+ AI/ML projects, CTO Franziska Bell appointment, 2025-2026</w:t>
      </w:r>
    </w:p>
    <w:p>
      <w:pPr>
        <w:spacing w:before="20" w:after="20"/>
        <w:ind w:left="170"/>
      </w:pPr>
      <w:r>
        <w:rPr>
          <w:rFonts w:ascii="Calibri" w:hAnsi="Calibri"/>
          <w:b/>
          <w:color w:val="4A6B25"/>
          <w:sz w:val="15"/>
        </w:rPr>
        <w:t xml:space="preserve">3. </w:t>
      </w:r>
      <w:r>
        <w:rPr>
          <w:rFonts w:ascii="Calibri" w:hAnsi="Calibri"/>
          <w:b w:val="0"/>
          <w:color w:val="3A4A28"/>
          <w:sz w:val="17"/>
        </w:rPr>
        <w:t>Home Depot ESG Reports and Labor Controversies — $450M+ Foundation contributions, Philadelphia unionization efforts,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HD (Home Depot),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